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footer2.xml" ContentType="application/vnd.openxmlformats-officedocument.wordprocessingml.footer+xml"/>
  <Override PartName="/word/header1.xml" ContentType="application/vnd.openxmlformats-officedocument.wordprocessingml.header+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png" ContentType="image/png"/>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tabs>
          <w:tab w:val="left" w:pos="1965" w:leader="none"/>
          <w:tab w:val="center" w:pos="4986" w:leader="none"/>
        </w:tabs>
        <w:spacing w:lineRule="auto" w:line="240" w:before="0" w:after="0"/>
        <w:contextualSpacing/>
        <w:jc w:val="center"/>
        <w:rPr>
          <w:rFonts w:cs="Times New Roman"/>
          <w:b/>
          <w:b/>
          <w:color w:val="00000A"/>
          <w:sz w:val="24"/>
          <w:szCs w:val="24"/>
          <w:shd w:fill="FFFFFF" w:val="clear"/>
          <w:lang w:val="lt-LT" w:eastAsia="lt-LT"/>
        </w:rPr>
      </w:pPr>
      <w:r>
        <w:rPr>
          <w:rFonts w:cs="Times New Roman"/>
          <w:b/>
          <w:color w:val="00000A"/>
          <w:sz w:val="24"/>
          <w:szCs w:val="24"/>
          <w:shd w:fill="FFFFFF" w:val="clear"/>
          <w:lang w:val="lt-LT" w:eastAsia="lt-LT"/>
        </w:rPr>
      </w:r>
    </w:p>
    <w:p>
      <w:pPr>
        <w:pStyle w:val="Normal"/>
        <w:tabs>
          <w:tab w:val="left" w:pos="1965" w:leader="none"/>
          <w:tab w:val="center" w:pos="4986" w:leader="none"/>
        </w:tabs>
        <w:spacing w:lineRule="auto" w:line="240" w:before="0" w:after="0"/>
        <w:contextualSpacing/>
        <w:jc w:val="center"/>
        <w:rPr>
          <w:rFonts w:cs="Times New Roman"/>
          <w:b/>
          <w:b/>
          <w:szCs w:val="24"/>
          <w:lang w:val="lt-LT" w:eastAsia="lt-LT"/>
        </w:rPr>
      </w:pPr>
      <w:r>
        <w:rPr>
          <w:rFonts w:cs="Times New Roman"/>
          <w:b/>
          <w:color w:val="00000A"/>
          <w:sz w:val="24"/>
          <w:szCs w:val="24"/>
          <w:shd w:fill="FFFFFF" w:val="clear"/>
          <w:lang w:val="lt-LT" w:eastAsia="lt-LT"/>
        </w:rPr>
        <w:t>SUPAPRASTINTO MAŽOS VERTĖS PIRKIMO APKLAUSOS BŪDU SĄLYGOS</w:t>
      </w:r>
    </w:p>
    <w:p>
      <w:pPr>
        <w:pStyle w:val="Normal"/>
        <w:tabs>
          <w:tab w:val="left" w:pos="1965" w:leader="none"/>
          <w:tab w:val="center" w:pos="4986" w:leader="none"/>
        </w:tabs>
        <w:spacing w:lineRule="auto" w:line="240" w:before="0" w:after="0"/>
        <w:contextualSpacing/>
        <w:jc w:val="center"/>
        <w:rPr>
          <w:rFonts w:cs="Times New Roman"/>
          <w:b/>
          <w:b/>
          <w:szCs w:val="24"/>
          <w:lang w:val="lt-LT" w:eastAsia="lt-LT"/>
        </w:rPr>
      </w:pPr>
      <w:r>
        <w:rPr>
          <w:rFonts w:cs="Times New Roman"/>
          <w:b/>
          <w:szCs w:val="24"/>
          <w:lang w:val="lt-LT" w:eastAsia="lt-LT"/>
        </w:rPr>
      </w:r>
    </w:p>
    <w:p>
      <w:pPr>
        <w:pStyle w:val="Bodytext1"/>
        <w:ind w:left="0" w:right="0" w:hanging="0"/>
        <w:jc w:val="center"/>
        <w:rPr/>
      </w:pPr>
      <w:bookmarkStart w:id="0" w:name="__DdeLink__3318_1947053689"/>
      <w:r>
        <w:rPr>
          <w:rStyle w:val="Iskyrimas"/>
          <w:rFonts w:cs="Times New Roman" w:ascii="Times New Roman" w:hAnsi="Times New Roman"/>
          <w:b/>
          <w:bCs w:val="false"/>
          <w:i w:val="false"/>
          <w:color w:val="00000A"/>
          <w:sz w:val="24"/>
          <w:szCs w:val="24"/>
          <w:shd w:fill="FFFFFF" w:val="clear"/>
          <w:lang w:val="lt-LT" w:bidi="ar-SA"/>
        </w:rPr>
        <w:t>NATURA 2000 TERITORIJOS K</w:t>
      </w:r>
      <w:r>
        <w:rPr>
          <w:rStyle w:val="Iskyrimas"/>
          <w:rFonts w:cs="Times New Roman" w:ascii="Times New Roman" w:hAnsi="Times New Roman"/>
          <w:b/>
          <w:bCs w:val="false"/>
          <w:i w:val="false"/>
          <w:caps/>
          <w:color w:val="00000A"/>
          <w:sz w:val="24"/>
          <w:szCs w:val="24"/>
          <w:shd w:fill="FFFFFF" w:val="clear"/>
          <w:lang w:val="lt-LT" w:bidi="ar-SA"/>
        </w:rPr>
        <w:t>auno marių Arlaviškių</w:t>
      </w:r>
      <w:r>
        <w:rPr>
          <w:rStyle w:val="Iskyrimas"/>
          <w:rFonts w:cs="Times New Roman" w:ascii="Times New Roman" w:hAnsi="Times New Roman"/>
          <w:b/>
          <w:bCs w:val="false"/>
          <w:i w:val="false"/>
          <w:color w:val="00000A"/>
          <w:sz w:val="24"/>
          <w:szCs w:val="24"/>
          <w:shd w:fill="FFFFFF" w:val="clear"/>
          <w:lang w:val="lt-LT" w:bidi="ar-SA"/>
        </w:rPr>
        <w:t xml:space="preserve"> </w:t>
      </w:r>
      <w:r>
        <w:rPr>
          <w:rStyle w:val="Iskyrimas"/>
          <w:rFonts w:cs="Times New Roman" w:ascii="Times New Roman" w:hAnsi="Times New Roman"/>
          <w:b/>
          <w:bCs w:val="false"/>
          <w:i w:val="false"/>
          <w:caps/>
          <w:color w:val="00000A"/>
          <w:sz w:val="24"/>
          <w:szCs w:val="24"/>
          <w:shd w:fill="FFFFFF" w:val="clear"/>
          <w:lang w:val="lt-LT" w:bidi="ar-SA"/>
        </w:rPr>
        <w:t xml:space="preserve">ornitologinio draustinio (Paukščių salų) </w:t>
      </w:r>
      <w:bookmarkEnd w:id="0"/>
      <w:r>
        <w:rPr>
          <w:rStyle w:val="Iskyrimas"/>
          <w:rFonts w:cs="Times New Roman" w:ascii="Times New Roman" w:hAnsi="Times New Roman"/>
          <w:b/>
          <w:bCs/>
          <w:i w:val="false"/>
          <w:color w:val="00000A"/>
          <w:sz w:val="24"/>
          <w:szCs w:val="24"/>
          <w:shd w:fill="FFFFFF" w:val="clear"/>
          <w:lang w:val="lt-LT" w:bidi="ar-SA"/>
        </w:rPr>
        <w:t>TVARKYMO PASLAUGOS</w:t>
      </w:r>
    </w:p>
    <w:p>
      <w:pPr>
        <w:pStyle w:val="Bodytext1"/>
        <w:jc w:val="center"/>
        <w:rPr>
          <w:rFonts w:ascii="Times New Roman" w:hAnsi="Times New Roman" w:cs="Times New Roman"/>
          <w:b/>
          <w:b/>
          <w:bCs/>
          <w:color w:val="00000A"/>
          <w:sz w:val="24"/>
          <w:szCs w:val="24"/>
          <w:shd w:fill="FFFFFF" w:val="clear"/>
          <w:lang w:val="lt-LT"/>
        </w:rPr>
      </w:pPr>
      <w:r>
        <w:rPr>
          <w:rFonts w:cs="Times New Roman" w:ascii="Times New Roman" w:hAnsi="Times New Roman"/>
          <w:b/>
          <w:bCs/>
          <w:color w:val="00000A"/>
          <w:sz w:val="24"/>
          <w:szCs w:val="24"/>
          <w:shd w:fill="FFFFFF" w:val="clear"/>
          <w:lang w:val="lt-LT"/>
        </w:rPr>
      </w:r>
    </w:p>
    <w:p>
      <w:pPr>
        <w:pStyle w:val="Normal"/>
        <w:shd w:val="clear" w:fill="FFFFFF"/>
        <w:jc w:val="center"/>
        <w:rPr/>
      </w:pPr>
      <w:r>
        <w:rPr>
          <w:rFonts w:cs="Times New Roman"/>
          <w:sz w:val="24"/>
          <w:szCs w:val="24"/>
          <w:shd w:fill="FFFFFF" w:val="clear"/>
          <w:lang w:val="lt-LT"/>
        </w:rPr>
        <w:t>2016-07-</w:t>
      </w:r>
      <w:r>
        <w:rPr>
          <w:rFonts w:cs="Times New Roman"/>
          <w:bCs/>
          <w:sz w:val="24"/>
          <w:szCs w:val="24"/>
          <w:shd w:fill="FFFFFF" w:val="clear"/>
          <w:lang w:val="lt-LT"/>
        </w:rPr>
        <w:t>04</w:t>
      </w:r>
    </w:p>
    <w:p>
      <w:pPr>
        <w:pStyle w:val="Normal"/>
        <w:shd w:val="clear" w:fill="FFFFFF"/>
        <w:jc w:val="center"/>
        <w:rPr>
          <w:rFonts w:cs="Times New Roman"/>
          <w:bCs/>
          <w:sz w:val="24"/>
          <w:szCs w:val="24"/>
          <w:highlight w:val="white"/>
          <w:u w:val="single"/>
          <w:lang w:val="lt-LT"/>
        </w:rPr>
      </w:pPr>
      <w:r>
        <w:rPr>
          <w:rFonts w:cs="Times New Roman"/>
          <w:bCs/>
          <w:sz w:val="20"/>
          <w:szCs w:val="20"/>
          <w:shd w:fill="FFFFFF" w:val="clear"/>
          <w:lang w:val="lt-LT"/>
        </w:rPr>
        <w:t>(Data)</w:t>
      </w:r>
    </w:p>
    <w:p>
      <w:pPr>
        <w:pStyle w:val="Normal"/>
        <w:shd w:val="clear" w:fill="FFFFFF"/>
        <w:jc w:val="center"/>
        <w:rPr>
          <w:rFonts w:cs="Times New Roman"/>
          <w:sz w:val="20"/>
          <w:szCs w:val="20"/>
          <w:highlight w:val="white"/>
          <w:lang w:val="lt-LT"/>
        </w:rPr>
      </w:pPr>
      <w:r>
        <w:rPr>
          <w:rFonts w:cs="Times New Roman"/>
          <w:bCs/>
          <w:sz w:val="24"/>
          <w:szCs w:val="24"/>
          <w:u w:val="single"/>
          <w:shd w:fill="FFFFFF" w:val="clear"/>
          <w:lang w:val="lt-LT"/>
        </w:rPr>
        <w:t>Vaišvydavos k.</w:t>
      </w:r>
    </w:p>
    <w:p>
      <w:pPr>
        <w:pStyle w:val="Normal"/>
        <w:shd w:val="clear" w:fill="FFFFFF"/>
        <w:jc w:val="center"/>
        <w:rPr>
          <w:rFonts w:cs="Times New Roman"/>
          <w:sz w:val="20"/>
          <w:szCs w:val="20"/>
          <w:highlight w:val="white"/>
          <w:lang w:val="lt-LT"/>
        </w:rPr>
      </w:pPr>
      <w:r>
        <w:rPr>
          <w:rFonts w:cs="Times New Roman"/>
          <w:sz w:val="20"/>
          <w:szCs w:val="20"/>
          <w:shd w:fill="FFFFFF" w:val="clear"/>
          <w:lang w:val="lt-LT"/>
        </w:rPr>
        <w:t>(Sudarymo vieta)</w:t>
      </w:r>
    </w:p>
    <w:p>
      <w:pPr>
        <w:pStyle w:val="Normal"/>
        <w:shd w:val="clear" w:fill="FFFFFF"/>
        <w:jc w:val="both"/>
        <w:rPr>
          <w:rFonts w:cs="Times New Roman"/>
          <w:bCs/>
          <w:sz w:val="24"/>
          <w:szCs w:val="24"/>
          <w:shd w:fill="FFFFFF" w:val="clear"/>
          <w:lang w:val="lt-LT"/>
        </w:rPr>
      </w:pPr>
      <w:r>
        <w:rPr>
          <w:rFonts w:cs="Times New Roman"/>
          <w:bCs/>
          <w:sz w:val="24"/>
          <w:szCs w:val="24"/>
          <w:shd w:fill="FFFFFF" w:val="clear"/>
          <w:lang w:val="lt-LT"/>
        </w:rPr>
      </w:r>
    </w:p>
    <w:p>
      <w:pPr>
        <w:pStyle w:val="Bodytext1"/>
        <w:ind w:left="0" w:right="0" w:hanging="0"/>
        <w:jc w:val="both"/>
        <w:rPr>
          <w:rFonts w:ascii="Times New Roman" w:hAnsi="Times New Roman" w:cs="Times New Roman"/>
          <w:color w:val="00000A"/>
          <w:sz w:val="10"/>
          <w:szCs w:val="10"/>
          <w:highlight w:val="white"/>
          <w:lang w:val="lt-LT"/>
        </w:rPr>
      </w:pPr>
      <w:r>
        <w:rPr>
          <w:rFonts w:cs="Times New Roman" w:ascii="Times New Roman" w:hAnsi="Times New Roman"/>
          <w:color w:val="00000A"/>
          <w:sz w:val="24"/>
          <w:szCs w:val="24"/>
          <w:shd w:fill="FFFFFF" w:val="clear"/>
          <w:lang w:val="lt-LT"/>
        </w:rPr>
        <w:t>1. Pirkimo objektas ir pageidaujamos jo savybės:</w:t>
      </w:r>
    </w:p>
    <w:p>
      <w:pPr>
        <w:pStyle w:val="Bodytext1"/>
        <w:ind w:left="0" w:right="0" w:hanging="0"/>
        <w:jc w:val="both"/>
        <w:rPr>
          <w:rFonts w:ascii="Times New Roman" w:hAnsi="Times New Roman" w:cs="Times New Roman"/>
          <w:color w:val="00000A"/>
          <w:sz w:val="10"/>
          <w:szCs w:val="10"/>
          <w:shd w:fill="FFFFFF" w:val="clear"/>
          <w:lang w:val="lt-LT"/>
        </w:rPr>
      </w:pPr>
      <w:r>
        <w:rPr>
          <w:rFonts w:cs="Times New Roman" w:ascii="Times New Roman" w:hAnsi="Times New Roman"/>
          <w:color w:val="00000A"/>
          <w:sz w:val="10"/>
          <w:szCs w:val="10"/>
          <w:shd w:fill="FFFFFF" w:val="clear"/>
          <w:lang w:val="lt-LT"/>
        </w:rPr>
      </w:r>
    </w:p>
    <w:p>
      <w:pPr>
        <w:pStyle w:val="Bodytext1"/>
        <w:ind w:left="0" w:right="0" w:hanging="0"/>
        <w:jc w:val="both"/>
        <w:rPr/>
      </w:pPr>
      <w:r>
        <w:rPr>
          <w:rFonts w:cs="Times New Roman" w:ascii="Times New Roman" w:hAnsi="Times New Roman"/>
          <w:color w:val="00000A"/>
          <w:sz w:val="24"/>
          <w:szCs w:val="24"/>
          <w:shd w:fill="FFFFFF" w:val="clear"/>
          <w:lang w:val="lt-LT"/>
        </w:rPr>
        <w:t xml:space="preserve">  </w:t>
      </w:r>
      <w:r>
        <w:rPr>
          <w:rFonts w:cs="Times New Roman" w:ascii="Times New Roman" w:hAnsi="Times New Roman"/>
          <w:color w:val="00000A"/>
          <w:sz w:val="24"/>
          <w:szCs w:val="24"/>
          <w:shd w:fill="FFFFFF" w:val="clear"/>
          <w:lang w:val="lt-LT"/>
        </w:rPr>
        <w:t xml:space="preserve">1.1. Tvarkymo paslaugos </w:t>
      </w:r>
      <w:r>
        <w:rPr>
          <w:rFonts w:cs="Times New Roman" w:ascii="Times New Roman" w:hAnsi="Times New Roman"/>
          <w:color w:val="00000A"/>
          <w:sz w:val="24"/>
          <w:szCs w:val="24"/>
          <w:shd w:fill="FFFFFF" w:val="clear"/>
          <w:lang w:val="lt-LT" w:bidi="ar-SA"/>
        </w:rPr>
        <w:t>„Natura 2000“ Kauno</w:t>
      </w:r>
      <w:r>
        <w:rPr>
          <w:rFonts w:cs="Times New Roman" w:ascii="Times New Roman" w:hAnsi="Times New Roman"/>
          <w:b w:val="false"/>
          <w:bCs w:val="false"/>
          <w:color w:val="00000A"/>
          <w:sz w:val="24"/>
          <w:szCs w:val="24"/>
          <w:shd w:fill="FFFFFF" w:val="clear"/>
          <w:lang w:val="lt-LT" w:bidi="ar-SA"/>
        </w:rPr>
        <w:t xml:space="preserve"> marių Arlaviškių ornitologinio draustinio (Paukščių salų) tvarkymo paslaugos.</w:t>
      </w:r>
    </w:p>
    <w:p>
      <w:pPr>
        <w:pStyle w:val="Bodytext1"/>
        <w:ind w:left="0" w:right="0" w:hanging="0"/>
        <w:jc w:val="both"/>
        <w:rPr/>
      </w:pPr>
      <w:r>
        <w:rPr>
          <w:rFonts w:cs="Times New Roman" w:ascii="Times New Roman" w:hAnsi="Times New Roman"/>
          <w:color w:val="00000A"/>
          <w:sz w:val="24"/>
          <w:szCs w:val="24"/>
          <w:shd w:fill="FFFFFF" w:val="clear"/>
          <w:lang w:val="lt-LT"/>
        </w:rPr>
        <w:t xml:space="preserve">  </w:t>
      </w:r>
      <w:r>
        <w:rPr>
          <w:rFonts w:cs="Times New Roman" w:ascii="Times New Roman" w:hAnsi="Times New Roman"/>
          <w:color w:val="00000A"/>
          <w:sz w:val="24"/>
          <w:szCs w:val="24"/>
          <w:shd w:fill="FFFFFF" w:val="clear"/>
          <w:lang w:val="lt-LT"/>
        </w:rPr>
        <w:t>1.2. Perkamų</w:t>
      </w:r>
      <w:r>
        <w:rPr>
          <w:rFonts w:cs="Times New Roman" w:ascii="Times New Roman" w:hAnsi="Times New Roman"/>
          <w:i/>
          <w:color w:val="00000A"/>
          <w:sz w:val="24"/>
          <w:szCs w:val="24"/>
          <w:shd w:fill="FFFFFF" w:val="clear"/>
          <w:lang w:val="lt-LT"/>
        </w:rPr>
        <w:t xml:space="preserve"> </w:t>
      </w:r>
      <w:r>
        <w:rPr>
          <w:rFonts w:cs="Times New Roman" w:ascii="Times New Roman" w:hAnsi="Times New Roman"/>
          <w:i w:val="false"/>
          <w:iCs w:val="false"/>
          <w:color w:val="00000A"/>
          <w:sz w:val="24"/>
          <w:szCs w:val="24"/>
          <w:shd w:fill="FFFFFF" w:val="clear"/>
          <w:lang w:val="lt-LT"/>
        </w:rPr>
        <w:t>paslaugų</w:t>
      </w:r>
      <w:r>
        <w:rPr>
          <w:rFonts w:cs="Times New Roman" w:ascii="Times New Roman" w:hAnsi="Times New Roman"/>
          <w:color w:val="00000A"/>
          <w:sz w:val="24"/>
          <w:szCs w:val="24"/>
          <w:shd w:fill="FFFFFF" w:val="clear"/>
          <w:lang w:val="lt-LT"/>
        </w:rPr>
        <w:t xml:space="preserve"> savybės nustatytos pateiktoje techninėje </w:t>
      </w:r>
      <w:r>
        <w:rPr>
          <w:rFonts w:cs="Times New Roman" w:ascii="Times New Roman" w:hAnsi="Times New Roman"/>
          <w:color w:val="000000"/>
          <w:sz w:val="24"/>
          <w:szCs w:val="24"/>
          <w:shd w:fill="FFFFFF" w:val="clear"/>
          <w:lang w:val="lt-LT"/>
        </w:rPr>
        <w:t xml:space="preserve">specifikacijoje </w:t>
      </w:r>
      <w:r>
        <w:rPr>
          <w:rFonts w:cs="Times New Roman" w:ascii="Times New Roman" w:hAnsi="Times New Roman"/>
          <w:color w:val="00000A"/>
          <w:sz w:val="24"/>
          <w:szCs w:val="24"/>
          <w:shd w:fill="FFFFFF" w:val="clear"/>
          <w:lang w:val="lt-LT"/>
        </w:rPr>
        <w:t>(1 priedas</w:t>
      </w:r>
      <w:r>
        <w:rPr>
          <w:rFonts w:cs="Times New Roman" w:ascii="Times New Roman" w:hAnsi="Times New Roman"/>
          <w:color w:val="000000"/>
          <w:sz w:val="24"/>
          <w:szCs w:val="24"/>
          <w:shd w:fill="FFFFFF" w:val="clear"/>
          <w:lang w:val="lt-LT"/>
        </w:rPr>
        <w:t>).</w:t>
      </w:r>
    </w:p>
    <w:p>
      <w:pPr>
        <w:pStyle w:val="Bodytext1"/>
        <w:ind w:left="0" w:right="0" w:hanging="0"/>
        <w:jc w:val="both"/>
        <w:rPr/>
      </w:pPr>
      <w:r>
        <w:rPr>
          <w:rFonts w:cs="Times New Roman" w:ascii="Times New Roman" w:hAnsi="Times New Roman"/>
          <w:color w:val="00000A"/>
          <w:sz w:val="24"/>
          <w:szCs w:val="24"/>
          <w:highlight w:val="white"/>
          <w:lang w:val="lt-LT"/>
        </w:rPr>
        <w:t xml:space="preserve">  </w:t>
      </w:r>
      <w:r>
        <w:rPr>
          <w:rFonts w:cs="Times New Roman" w:ascii="Times New Roman" w:hAnsi="Times New Roman"/>
          <w:color w:val="00000A"/>
          <w:sz w:val="24"/>
          <w:szCs w:val="24"/>
          <w:highlight w:val="white"/>
          <w:lang w:val="lt-LT"/>
        </w:rPr>
        <w:t xml:space="preserve">1.3. Pirkimo objektui tvarkyti iš Aplinkos apsauos remimo programos gauta </w:t>
      </w:r>
      <w:r>
        <w:rPr>
          <w:rFonts w:cs="Times New Roman" w:ascii="Times New Roman" w:hAnsi="Times New Roman"/>
          <w:b/>
          <w:bCs/>
          <w:color w:val="00000A"/>
          <w:sz w:val="24"/>
          <w:szCs w:val="24"/>
          <w:highlight w:val="white"/>
          <w:lang w:val="lt-LT"/>
        </w:rPr>
        <w:t>2000 Eur su PVM</w:t>
      </w:r>
      <w:r>
        <w:rPr>
          <w:rFonts w:cs="Times New Roman" w:ascii="Times New Roman" w:hAnsi="Times New Roman"/>
          <w:color w:val="00000A"/>
          <w:sz w:val="24"/>
          <w:szCs w:val="24"/>
          <w:highlight w:val="white"/>
          <w:lang w:val="lt-LT"/>
        </w:rPr>
        <w:t xml:space="preserve"> suma. Perkančioji organizacija negalės už darbus mokėti daugiau negu ji turi tam lėšų.</w:t>
      </w:r>
    </w:p>
    <w:p>
      <w:pPr>
        <w:pStyle w:val="Bodytext1"/>
        <w:ind w:left="0" w:right="0" w:hanging="0"/>
        <w:jc w:val="both"/>
        <w:rPr>
          <w:rFonts w:ascii="Times New Roman" w:hAnsi="Times New Roman" w:cs="Times New Roman"/>
          <w:color w:val="00000A"/>
          <w:sz w:val="24"/>
          <w:szCs w:val="24"/>
          <w:shd w:fill="FFFFFF" w:val="clear"/>
          <w:lang w:val="lt-LT"/>
        </w:rPr>
      </w:pPr>
      <w:r>
        <w:rPr>
          <w:rFonts w:cs="Times New Roman" w:ascii="Times New Roman" w:hAnsi="Times New Roman"/>
          <w:color w:val="00000A"/>
          <w:sz w:val="24"/>
          <w:szCs w:val="24"/>
          <w:shd w:fill="FFFFFF" w:val="clear"/>
          <w:lang w:val="lt-LT"/>
        </w:rPr>
      </w:r>
    </w:p>
    <w:p>
      <w:pPr>
        <w:pStyle w:val="Bodytext1"/>
        <w:ind w:left="0" w:right="0" w:hanging="0"/>
        <w:jc w:val="both"/>
        <w:rPr>
          <w:rFonts w:ascii="Times New Roman" w:hAnsi="Times New Roman" w:cs="Times New Roman"/>
          <w:color w:val="00000A"/>
          <w:sz w:val="24"/>
          <w:szCs w:val="24"/>
          <w:highlight w:val="white"/>
          <w:lang w:val="lt-LT"/>
        </w:rPr>
      </w:pPr>
      <w:r>
        <w:rPr>
          <w:rFonts w:cs="Times New Roman" w:ascii="Times New Roman" w:hAnsi="Times New Roman"/>
          <w:color w:val="00000A"/>
          <w:sz w:val="24"/>
          <w:szCs w:val="24"/>
          <w:shd w:fill="FFFFFF" w:val="clear"/>
          <w:lang w:val="lt-LT"/>
        </w:rPr>
        <w:t>2. Svarbiausios pirkimo-pardavimo sutarties sąlygos (pagal Viešųjų pirkimų įstatymo 18 str. 6 d.):</w:t>
      </w:r>
    </w:p>
    <w:p>
      <w:pPr>
        <w:pStyle w:val="Bodytext1"/>
        <w:ind w:left="0" w:right="0" w:hanging="0"/>
        <w:jc w:val="both"/>
        <w:rPr/>
      </w:pPr>
      <w:r>
        <w:rPr>
          <w:rFonts w:cs="Times New Roman" w:ascii="Times New Roman" w:hAnsi="Times New Roman"/>
          <w:color w:val="00000A"/>
          <w:sz w:val="24"/>
          <w:szCs w:val="24"/>
          <w:shd w:fill="FFFFFF" w:val="clear"/>
          <w:lang w:val="lt-LT"/>
        </w:rPr>
        <w:t xml:space="preserve">  </w:t>
      </w:r>
      <w:r>
        <w:rPr>
          <w:rFonts w:cs="Times New Roman" w:ascii="Times New Roman" w:hAnsi="Times New Roman"/>
          <w:color w:val="00000A"/>
          <w:sz w:val="24"/>
          <w:szCs w:val="24"/>
          <w:shd w:fill="FFFFFF" w:val="clear"/>
          <w:lang w:val="lt-LT"/>
        </w:rPr>
        <w:t>2.1. Vykdytojas, kuris atlieka sutartyje numatytus paslaugas, privalo jas tinkamai įvykdyti ir įvykdęs darbus pateikti užsakovui darbų priėmimo - pridavimo aktą. Užsakovas patikrinęs atliktus  darbus ir jei darbai atlikti kokybiškai, pasirašo darbų priėmimo – pridavimo aktą, jei darbai atlikti nekokybiškai arba ne iki galo, užsakovas nepasirašo darbų priėmimo – pridavimo akto ir prašo per 14 dienų pašalinti rastus trūkumus ir atlikti darbus iki galo. Priėmusi darbus Kauno marių regioninio parko direkcija (toliau - Perkančioji organizacija) už sutartyje nustatytas ir įvykdytas paslaugas atsiskaito pavedimu į vykdytojo sutartyje nurodytą banko sąskaitą per 20 dienų.</w:t>
      </w:r>
    </w:p>
    <w:p>
      <w:pPr>
        <w:pStyle w:val="Bodytext1"/>
        <w:ind w:left="0" w:right="0" w:hanging="0"/>
        <w:jc w:val="both"/>
        <w:rPr/>
      </w:pPr>
      <w:r>
        <w:rPr>
          <w:rFonts w:cs="Times New Roman" w:ascii="Times New Roman" w:hAnsi="Times New Roman"/>
          <w:b w:val="false"/>
          <w:i w:val="false"/>
          <w:color w:val="00000A"/>
          <w:sz w:val="24"/>
          <w:szCs w:val="24"/>
          <w:shd w:fill="FFFFFF" w:val="clear"/>
          <w:lang w:val="lt-LT"/>
        </w:rPr>
        <w:t xml:space="preserve">  </w:t>
      </w:r>
      <w:r>
        <w:rPr>
          <w:rFonts w:cs="Times New Roman" w:ascii="Times New Roman" w:hAnsi="Times New Roman"/>
          <w:b w:val="false"/>
          <w:i w:val="false"/>
          <w:color w:val="00000A"/>
          <w:sz w:val="24"/>
          <w:szCs w:val="24"/>
          <w:shd w:fill="FFFFFF" w:val="clear"/>
          <w:lang w:val="lt-LT"/>
        </w:rPr>
        <w:t>2.2. Vykdytojas</w:t>
      </w:r>
      <w:r>
        <w:rPr>
          <w:rFonts w:cs="Times New Roman" w:ascii="Times New Roman" w:hAnsi="Times New Roman"/>
          <w:color w:val="00000A"/>
          <w:sz w:val="24"/>
          <w:szCs w:val="24"/>
          <w:shd w:fill="FFFFFF" w:val="clear"/>
          <w:lang w:val="lt-LT"/>
        </w:rPr>
        <w:t xml:space="preserve"> pasirašydamas sutartį įsipareigoja iki </w:t>
      </w:r>
      <w:r>
        <w:rPr>
          <w:rFonts w:cs="Times New Roman" w:ascii="Times New Roman" w:hAnsi="Times New Roman"/>
          <w:b/>
          <w:bCs/>
          <w:color w:val="00000A"/>
          <w:sz w:val="24"/>
          <w:szCs w:val="24"/>
          <w:shd w:fill="FFFFFF" w:val="clear"/>
          <w:lang w:val="lt-LT"/>
        </w:rPr>
        <w:t>2016 m. rugsėjo 15 d.,</w:t>
      </w:r>
      <w:r>
        <w:rPr>
          <w:rFonts w:cs="Times New Roman" w:ascii="Times New Roman" w:hAnsi="Times New Roman"/>
          <w:color w:val="00000A"/>
          <w:sz w:val="24"/>
          <w:szCs w:val="24"/>
          <w:shd w:fill="FFFFFF" w:val="clear"/>
          <w:lang w:val="lt-LT"/>
        </w:rPr>
        <w:t xml:space="preserve"> </w:t>
      </w:r>
      <w:r>
        <w:rPr>
          <w:rFonts w:cs="Times New Roman" w:ascii="Times New Roman" w:hAnsi="Times New Roman"/>
          <w:b/>
          <w:bCs/>
          <w:color w:val="00000A"/>
          <w:sz w:val="24"/>
          <w:szCs w:val="24"/>
          <w:shd w:fill="FFFFFF" w:val="clear"/>
          <w:lang w:val="lt-LT"/>
        </w:rPr>
        <w:t>sutvarkyti 4 ha plotą</w:t>
      </w:r>
      <w:r>
        <w:rPr>
          <w:rFonts w:cs="Times New Roman" w:ascii="Times New Roman" w:hAnsi="Times New Roman"/>
          <w:color w:val="00000A"/>
          <w:sz w:val="24"/>
          <w:szCs w:val="24"/>
          <w:shd w:fill="FFFFFF" w:val="clear"/>
          <w:lang w:val="lt-LT"/>
        </w:rPr>
        <w:t xml:space="preserve">. </w:t>
      </w:r>
    </w:p>
    <w:p>
      <w:pPr>
        <w:pStyle w:val="Bodytext1"/>
        <w:ind w:left="0" w:right="0" w:hanging="0"/>
        <w:jc w:val="both"/>
        <w:rPr/>
      </w:pPr>
      <w:r>
        <w:rPr>
          <w:rFonts w:cs="Times New Roman" w:ascii="Times New Roman" w:hAnsi="Times New Roman"/>
          <w:color w:val="00000A"/>
          <w:sz w:val="24"/>
          <w:szCs w:val="24"/>
          <w:shd w:fill="FFFFFF" w:val="clear"/>
          <w:lang w:val="lt-LT"/>
        </w:rPr>
        <w:t xml:space="preserve">  </w:t>
      </w:r>
      <w:r>
        <w:rPr>
          <w:rFonts w:cs="Times New Roman" w:ascii="Times New Roman" w:hAnsi="Times New Roman"/>
          <w:color w:val="00000A"/>
          <w:sz w:val="24"/>
          <w:szCs w:val="24"/>
          <w:shd w:fill="FFFFFF" w:val="clear"/>
          <w:lang w:val="lt-LT"/>
        </w:rPr>
        <w:t>2.3.</w:t>
      </w:r>
      <w:r>
        <w:rPr>
          <w:rFonts w:cs="Times New Roman" w:ascii="Times New Roman" w:hAnsi="Times New Roman"/>
          <w:color w:val="000000"/>
          <w:sz w:val="24"/>
          <w:szCs w:val="24"/>
          <w:shd w:fill="FFFFFF" w:val="clear"/>
          <w:lang w:val="lt-LT"/>
        </w:rPr>
        <w:t xml:space="preserve"> Sutartis galioja</w:t>
      </w:r>
      <w:r>
        <w:rPr>
          <w:rFonts w:cs="Times New Roman" w:ascii="Times New Roman" w:hAnsi="Times New Roman"/>
          <w:color w:val="00000A"/>
          <w:sz w:val="24"/>
          <w:szCs w:val="24"/>
          <w:shd w:fill="FFFFFF" w:val="clear"/>
          <w:lang w:val="lt-LT"/>
        </w:rPr>
        <w:t xml:space="preserve"> </w:t>
      </w:r>
      <w:r>
        <w:rPr>
          <w:rFonts w:cs="Times New Roman" w:ascii="Times New Roman" w:hAnsi="Times New Roman"/>
          <w:color w:val="000000"/>
          <w:sz w:val="24"/>
          <w:szCs w:val="24"/>
          <w:shd w:fill="FFFFFF" w:val="clear"/>
          <w:lang w:val="lt-LT"/>
        </w:rPr>
        <w:t xml:space="preserve">iki visiško sutarties šalių įsipareigojimų įvykdymo, t. y. vykdytojas tinkamai nušienauja </w:t>
      </w:r>
      <w:bookmarkStart w:id="1" w:name="__DdeLink__10246_317617373"/>
      <w:r>
        <w:rPr>
          <w:rStyle w:val="Iskyrimas"/>
          <w:rFonts w:cs="Times New Roman" w:ascii="Times New Roman" w:hAnsi="Times New Roman"/>
          <w:b w:val="false"/>
          <w:bCs w:val="false"/>
          <w:i w:val="false"/>
          <w:color w:val="00000A"/>
          <w:sz w:val="24"/>
          <w:szCs w:val="24"/>
          <w:shd w:fill="FFFFFF" w:val="clear"/>
          <w:lang w:val="lt-LT" w:bidi="ar-SA"/>
        </w:rPr>
        <w:t>„Natura 2000“ Kauno marių Arlaviškių ornitologinio draustinio (Paukščių salų) teritorijas</w:t>
      </w:r>
      <w:bookmarkEnd w:id="1"/>
      <w:r>
        <w:rPr>
          <w:rFonts w:cs="Times New Roman" w:ascii="Times New Roman" w:hAnsi="Times New Roman"/>
          <w:color w:val="000000"/>
          <w:sz w:val="24"/>
          <w:szCs w:val="24"/>
          <w:shd w:fill="FFFFFF" w:val="clear"/>
          <w:lang w:val="lt-LT"/>
        </w:rPr>
        <w:t>, o perkančioji organizacija atsiskaito su vykdytoju apmokėdama jo išrašytą sąskaitą.</w:t>
      </w:r>
    </w:p>
    <w:p>
      <w:pPr>
        <w:pStyle w:val="Bodytext1"/>
        <w:ind w:left="0" w:right="0" w:hanging="0"/>
        <w:jc w:val="both"/>
        <w:rPr>
          <w:rFonts w:ascii="Times New Roman" w:hAnsi="Times New Roman" w:cs="Times New Roman"/>
          <w:color w:val="00000A"/>
          <w:sz w:val="24"/>
          <w:szCs w:val="24"/>
          <w:shd w:fill="FFFFFF" w:val="clear"/>
          <w:lang w:val="lt-LT"/>
        </w:rPr>
      </w:pPr>
      <w:r>
        <w:rPr>
          <w:rFonts w:cs="Times New Roman" w:ascii="Times New Roman" w:hAnsi="Times New Roman"/>
          <w:color w:val="00000A"/>
          <w:sz w:val="24"/>
          <w:szCs w:val="24"/>
          <w:shd w:fill="FFFFFF" w:val="clear"/>
          <w:lang w:val="lt-LT"/>
        </w:rPr>
      </w:r>
    </w:p>
    <w:p>
      <w:pPr>
        <w:pStyle w:val="Bodytext1"/>
        <w:ind w:left="0" w:right="0" w:hanging="0"/>
        <w:jc w:val="both"/>
        <w:rPr>
          <w:rFonts w:ascii="Times New Roman" w:hAnsi="Times New Roman" w:cs="Times New Roman"/>
          <w:color w:val="00000A"/>
          <w:sz w:val="24"/>
          <w:szCs w:val="24"/>
          <w:highlight w:val="white"/>
          <w:lang w:val="lt-LT"/>
        </w:rPr>
      </w:pPr>
      <w:r>
        <w:rPr>
          <w:rFonts w:cs="Times New Roman" w:ascii="Times New Roman" w:hAnsi="Times New Roman"/>
          <w:color w:val="00000A"/>
          <w:sz w:val="24"/>
          <w:szCs w:val="24"/>
          <w:shd w:fill="FFFFFF" w:val="clear"/>
          <w:lang w:val="lt-LT"/>
        </w:rPr>
        <w:t>3. Kriterijai, kuriais vadovaujantis bus pasirenkamas vykdytojas su kuriuo bus sudaroma viešojo pirkimo-pardavimo sutartis:</w:t>
      </w:r>
    </w:p>
    <w:p>
      <w:pPr>
        <w:pStyle w:val="Bodytext1"/>
        <w:ind w:left="0" w:right="0" w:hanging="0"/>
        <w:jc w:val="both"/>
        <w:rPr/>
      </w:pPr>
      <w:r>
        <w:rPr>
          <w:rFonts w:cs="Times New Roman" w:ascii="Times New Roman" w:hAnsi="Times New Roman"/>
          <w:color w:val="00000A"/>
          <w:sz w:val="24"/>
          <w:szCs w:val="24"/>
          <w:shd w:fill="FFFFFF" w:val="clear"/>
          <w:lang w:val="lt-LT"/>
        </w:rPr>
        <w:t xml:space="preserve">  </w:t>
      </w:r>
      <w:r>
        <w:rPr>
          <w:rFonts w:cs="Times New Roman" w:ascii="Times New Roman" w:hAnsi="Times New Roman"/>
          <w:color w:val="00000A"/>
          <w:sz w:val="24"/>
          <w:szCs w:val="24"/>
          <w:shd w:fill="FFFFFF" w:val="clear"/>
          <w:lang w:val="lt-LT"/>
        </w:rPr>
        <w:t>3.1. Paslauga perkama pagal mažiausios kainos kriterijų.</w:t>
      </w:r>
    </w:p>
    <w:p>
      <w:pPr>
        <w:pStyle w:val="Bodytext1"/>
        <w:ind w:left="0" w:right="0" w:hanging="0"/>
        <w:jc w:val="both"/>
        <w:rPr>
          <w:rFonts w:ascii="Times New Roman" w:hAnsi="Times New Roman" w:cs="Times New Roman"/>
          <w:color w:val="00000A"/>
          <w:sz w:val="24"/>
          <w:szCs w:val="24"/>
          <w:highlight w:val="white"/>
          <w:lang w:val="lt-LT"/>
        </w:rPr>
      </w:pPr>
      <w:r>
        <w:rPr>
          <w:rFonts w:cs="Times New Roman" w:ascii="Times New Roman" w:hAnsi="Times New Roman"/>
          <w:color w:val="00000A"/>
          <w:sz w:val="24"/>
          <w:szCs w:val="24"/>
          <w:shd w:fill="FFFFFF" w:val="clear"/>
          <w:lang w:val="lt-LT"/>
        </w:rPr>
        <w:t>4. Tiekėjų pasiūlymų pateikimo forma, termino pabaiga (metai, mėnuo, diena, laikas minučių tikslumu), vieta, informacija kur vyks susipažinimo su pateiktais pasiūlymais procedūra, iki kada turi galioti pasiūlymas:</w:t>
      </w:r>
    </w:p>
    <w:p>
      <w:pPr>
        <w:pStyle w:val="Bodytext1"/>
        <w:ind w:left="0" w:right="0" w:hanging="0"/>
        <w:jc w:val="both"/>
        <w:rPr/>
      </w:pPr>
      <w:r>
        <w:rPr>
          <w:rFonts w:cs="Times New Roman" w:ascii="Times New Roman" w:hAnsi="Times New Roman"/>
          <w:color w:val="00000A"/>
          <w:sz w:val="24"/>
          <w:szCs w:val="24"/>
          <w:shd w:fill="FFFFFF" w:val="clear"/>
          <w:lang w:val="lt-LT"/>
        </w:rPr>
        <w:t xml:space="preserve">  </w:t>
      </w:r>
      <w:r>
        <w:rPr>
          <w:rFonts w:cs="Times New Roman" w:ascii="Times New Roman" w:hAnsi="Times New Roman"/>
          <w:color w:val="00000A"/>
          <w:sz w:val="24"/>
          <w:szCs w:val="24"/>
          <w:shd w:fill="FFFFFF" w:val="clear"/>
          <w:lang w:val="lt-LT"/>
        </w:rPr>
        <w:t xml:space="preserve">4.1. Pasiūlymas </w:t>
      </w:r>
      <w:r>
        <w:rPr>
          <w:rFonts w:cs="Times New Roman" w:ascii="Times New Roman" w:hAnsi="Times New Roman"/>
          <w:color w:val="00000A"/>
          <w:sz w:val="24"/>
          <w:szCs w:val="24"/>
          <w:shd w:fill="FFFFFF" w:val="clear"/>
          <w:lang w:val="lt-LT" w:eastAsia="lt-LT"/>
        </w:rPr>
        <w:t>pateikiamas</w:t>
      </w:r>
      <w:r>
        <w:rPr>
          <w:rFonts w:cs="Times New Roman" w:ascii="Times New Roman" w:hAnsi="Times New Roman"/>
          <w:b/>
          <w:color w:val="00000A"/>
          <w:sz w:val="24"/>
          <w:szCs w:val="24"/>
          <w:shd w:fill="FFFFFF" w:val="clear"/>
          <w:lang w:val="lt-LT" w:eastAsia="lt-LT"/>
        </w:rPr>
        <w:t xml:space="preserve"> pagal pirkimo sąlygų 3 priedą tik elektroninėmis priemonėmis, </w:t>
      </w:r>
      <w:r>
        <w:rPr>
          <w:rFonts w:cs="Times New Roman" w:ascii="Times New Roman" w:hAnsi="Times New Roman"/>
          <w:color w:val="00000A"/>
          <w:sz w:val="24"/>
          <w:szCs w:val="24"/>
          <w:shd w:fill="FFFFFF" w:val="clear"/>
          <w:lang w:val="lt-LT" w:eastAsia="lt-LT"/>
        </w:rPr>
        <w:t>naudojant CVP IS, pasiekiamą adresu</w:t>
      </w:r>
      <w:r>
        <w:rPr>
          <w:rFonts w:cs="Times New Roman" w:ascii="Times New Roman" w:hAnsi="Times New Roman"/>
          <w:b/>
          <w:color w:val="00000A"/>
          <w:sz w:val="24"/>
          <w:szCs w:val="24"/>
          <w:shd w:fill="FFFFFF" w:val="clear"/>
          <w:lang w:val="lt-LT" w:eastAsia="lt-LT"/>
        </w:rPr>
        <w:t xml:space="preserve"> </w:t>
      </w:r>
      <w:hyperlink r:id="rId2">
        <w:r>
          <w:rPr>
            <w:rStyle w:val="Internetosaitas"/>
            <w:rFonts w:cs="Times New Roman" w:ascii="Times New Roman" w:hAnsi="Times New Roman"/>
            <w:sz w:val="24"/>
            <w:szCs w:val="24"/>
            <w:highlight w:val="white"/>
            <w:lang w:val="lt-LT"/>
          </w:rPr>
          <w:t>https://pirkimai.eviesieji.pirkimai.lt</w:t>
        </w:r>
      </w:hyperlink>
      <w:r>
        <w:rPr>
          <w:rFonts w:cs="Times New Roman" w:ascii="Times New Roman" w:hAnsi="Times New Roman"/>
          <w:b/>
          <w:color w:val="00000A"/>
          <w:sz w:val="24"/>
          <w:szCs w:val="24"/>
          <w:shd w:fill="FFFFFF" w:val="clear"/>
          <w:lang w:val="lt-LT" w:eastAsia="lt-LT"/>
        </w:rPr>
        <w:t>.</w:t>
      </w:r>
      <w:r>
        <w:rPr>
          <w:rFonts w:cs="Times New Roman" w:ascii="Times New Roman" w:hAnsi="Times New Roman"/>
          <w:color w:val="00000A"/>
          <w:sz w:val="24"/>
          <w:szCs w:val="24"/>
          <w:shd w:fill="FFFFFF" w:val="clear"/>
          <w:lang w:val="lt-LT" w:eastAsia="lt-LT"/>
        </w:rPr>
        <w:t xml:space="preserve"> Pasiūlymai, pateikti popierinėje formoje arba ne perkančiosios organizacijos nurodytomis elektroninėmis priemonėmis, bus atmesti kaip neatitinkantys pirkimo dokumentų reikalavimų. Pasiūlymus gali teikti tik CVP IS registruoti tiekėjai (nemokama registracija adresu </w:t>
      </w:r>
      <w:hyperlink r:id="rId3">
        <w:r>
          <w:rPr>
            <w:rStyle w:val="Internetosaitas"/>
            <w:rFonts w:cs="Times New Roman" w:ascii="Times New Roman" w:hAnsi="Times New Roman"/>
            <w:sz w:val="24"/>
            <w:szCs w:val="24"/>
            <w:highlight w:val="white"/>
            <w:lang w:val="lt-LT"/>
          </w:rPr>
          <w:t>https://pirkimai.eviesiejipirkimai.lt</w:t>
        </w:r>
      </w:hyperlink>
      <w:r>
        <w:rPr>
          <w:rFonts w:cs="Times New Roman" w:ascii="Times New Roman" w:hAnsi="Times New Roman"/>
          <w:iCs/>
          <w:color w:val="00000A"/>
          <w:sz w:val="24"/>
          <w:szCs w:val="24"/>
          <w:shd w:fill="FFFFFF" w:val="clear"/>
          <w:lang w:val="lt-LT" w:eastAsia="lt-LT"/>
        </w:rPr>
        <w:t xml:space="preserve">). </w:t>
      </w:r>
      <w:r>
        <w:rPr>
          <w:rFonts w:cs="Times New Roman" w:ascii="Times New Roman" w:hAnsi="Times New Roman"/>
          <w:bCs/>
          <w:iCs/>
          <w:color w:val="00000A"/>
          <w:sz w:val="24"/>
          <w:szCs w:val="24"/>
          <w:shd w:fill="FFFFFF" w:val="clear"/>
          <w:lang w:val="lt-LT" w:eastAsia="lt-LT"/>
        </w:rPr>
        <w:t xml:space="preserve">Pateikiami dokumentai ar skaitmeninės dokumentų kopijos turi būti prieinami naudojant nediskriminuojančius, visuotinai prieinamus duomenų failų formatus (Perkančioji organizacija rekomenduoja </w:t>
      </w:r>
      <w:r>
        <w:rPr>
          <w:rFonts w:cs="Times New Roman" w:ascii="Times New Roman" w:hAnsi="Times New Roman"/>
          <w:bCs/>
          <w:iCs/>
          <w:color w:val="00000A"/>
          <w:sz w:val="24"/>
          <w:szCs w:val="24"/>
          <w:u w:val="single"/>
          <w:shd w:fill="FFFFFF" w:val="clear"/>
          <w:lang w:val="lt-LT" w:eastAsia="lt-LT"/>
        </w:rPr>
        <w:t>pdf formatą</w:t>
      </w:r>
      <w:r>
        <w:rPr>
          <w:rFonts w:cs="Times New Roman" w:ascii="Times New Roman" w:hAnsi="Times New Roman"/>
          <w:bCs/>
          <w:iCs/>
          <w:color w:val="00000A"/>
          <w:sz w:val="24"/>
          <w:szCs w:val="24"/>
          <w:shd w:fill="FFFFFF" w:val="clear"/>
          <w:lang w:val="lt-LT" w:eastAsia="lt-LT"/>
        </w:rPr>
        <w:t xml:space="preserve">). Su pasiūlymu pateikiama užpildyta </w:t>
      </w:r>
      <w:r>
        <w:rPr>
          <w:rFonts w:cs="Times New Roman" w:ascii="Times New Roman" w:hAnsi="Times New Roman"/>
          <w:b/>
          <w:bCs/>
          <w:iCs/>
          <w:color w:val="00000A"/>
          <w:sz w:val="24"/>
          <w:szCs w:val="24"/>
          <w:shd w:fill="FFFFFF" w:val="clear"/>
          <w:lang w:val="lt-LT" w:eastAsia="lt-LT"/>
        </w:rPr>
        <w:t xml:space="preserve">atitikties konkurso sąlygose nurodytiems minimaliems kvalifikacijos reikalavimams deklaracija, </w:t>
      </w:r>
      <w:r>
        <w:rPr>
          <w:rFonts w:cs="Times New Roman" w:ascii="Times New Roman" w:hAnsi="Times New Roman"/>
          <w:b w:val="false"/>
          <w:bCs w:val="false"/>
          <w:iCs/>
          <w:color w:val="00000A"/>
          <w:sz w:val="24"/>
          <w:szCs w:val="24"/>
          <w:shd w:fill="FFFFFF" w:val="clear"/>
          <w:lang w:val="lt-LT" w:eastAsia="lt-LT"/>
        </w:rPr>
        <w:t>parengta pagal šių konkurso sąlygų 4 priedo pateiktą formą</w:t>
      </w:r>
      <w:r>
        <w:rPr>
          <w:rFonts w:cs="Times New Roman" w:ascii="Times New Roman" w:hAnsi="Times New Roman"/>
          <w:bCs/>
          <w:iCs/>
          <w:color w:val="00000A"/>
          <w:sz w:val="24"/>
          <w:szCs w:val="24"/>
          <w:shd w:fill="FFFFFF" w:val="clear"/>
          <w:lang w:val="lt-LT" w:eastAsia="lt-LT"/>
        </w:rPr>
        <w:t xml:space="preserve"> ir kita konkurso sąlygose prašoma informacija ir (ar) dokumentai elektroninėje formoje.</w:t>
      </w:r>
    </w:p>
    <w:p>
      <w:pPr>
        <w:pStyle w:val="Bodytext1"/>
        <w:ind w:left="0" w:right="0" w:hanging="0"/>
        <w:jc w:val="both"/>
        <w:rPr/>
      </w:pPr>
      <w:r>
        <w:rPr>
          <w:rFonts w:cs="Times New Roman" w:ascii="Times New Roman" w:hAnsi="Times New Roman"/>
          <w:color w:val="00000A"/>
          <w:sz w:val="24"/>
          <w:szCs w:val="24"/>
          <w:shd w:fill="FFFFFF" w:val="clear"/>
          <w:lang w:val="lt-LT"/>
        </w:rPr>
        <w:t xml:space="preserve">  </w:t>
      </w:r>
      <w:r>
        <w:rPr>
          <w:rFonts w:cs="Times New Roman" w:ascii="Times New Roman" w:hAnsi="Times New Roman"/>
          <w:color w:val="00000A"/>
          <w:sz w:val="24"/>
          <w:szCs w:val="24"/>
          <w:shd w:fill="FFFFFF" w:val="clear"/>
          <w:lang w:val="lt-LT"/>
        </w:rPr>
        <w:t xml:space="preserve">4.2. </w:t>
      </w:r>
      <w:r>
        <w:rPr>
          <w:rFonts w:cs="Times New Roman" w:ascii="Times New Roman" w:hAnsi="Times New Roman"/>
          <w:color w:val="00000A"/>
          <w:sz w:val="24"/>
          <w:szCs w:val="24"/>
          <w:shd w:fill="FFFFFF" w:val="clear"/>
          <w:lang w:val="lt-LT" w:eastAsia="lt-LT"/>
        </w:rPr>
        <w:t xml:space="preserve">Pasiūlymas turi būti pateiktas iki </w:t>
      </w:r>
      <w:r>
        <w:rPr>
          <w:rFonts w:cs="Times New Roman" w:ascii="Times New Roman" w:hAnsi="Times New Roman"/>
          <w:b/>
          <w:bCs/>
          <w:color w:val="00000A"/>
          <w:sz w:val="24"/>
          <w:szCs w:val="24"/>
          <w:shd w:fill="FFFFFF" w:val="clear"/>
          <w:lang w:val="lt-LT" w:eastAsia="lt-LT"/>
        </w:rPr>
        <w:t xml:space="preserve">2016 m. liepos 20 d. 10.00 val. </w:t>
      </w:r>
      <w:r>
        <w:rPr>
          <w:rFonts w:cs="Times New Roman" w:ascii="Times New Roman" w:hAnsi="Times New Roman"/>
          <w:bCs/>
          <w:color w:val="00000A"/>
          <w:sz w:val="24"/>
          <w:szCs w:val="24"/>
          <w:shd w:fill="FFFFFF" w:val="clear"/>
          <w:lang w:val="lt-LT" w:eastAsia="lt-LT"/>
        </w:rPr>
        <w:t>Lietuvos Respublikos laiku</w:t>
      </w:r>
      <w:r>
        <w:rPr>
          <w:rFonts w:cs="Times New Roman" w:ascii="Times New Roman" w:hAnsi="Times New Roman"/>
          <w:color w:val="00000A"/>
          <w:sz w:val="24"/>
          <w:szCs w:val="24"/>
          <w:shd w:fill="FFFFFF" w:val="clear"/>
          <w:lang w:val="lt-LT" w:eastAsia="lt-LT"/>
        </w:rPr>
        <w:t xml:space="preserve"> tik elektroninėmis priemonėmis, naudojant CVP IS. Tiekėjui CVP IS susirašinėjimo priemonėmis paprašius, perkančioji organizacija CVP IS susirašinėjimo priemonėmis patvirtina, kad tiekėjo pasiūlymas yra gautas ir nurodo gavimo dieną, valandą ir minutę.</w:t>
      </w:r>
    </w:p>
    <w:p>
      <w:pPr>
        <w:pStyle w:val="Bodytext1"/>
        <w:ind w:left="0" w:right="0" w:hanging="0"/>
        <w:jc w:val="both"/>
        <w:rPr>
          <w:rFonts w:ascii="Times New Roman" w:hAnsi="Times New Roman" w:cs="Times New Roman"/>
          <w:color w:val="00000A"/>
          <w:sz w:val="24"/>
          <w:szCs w:val="24"/>
          <w:lang w:val="lt-LT"/>
        </w:rPr>
      </w:pPr>
      <w:r>
        <w:rPr>
          <w:rFonts w:cs="Times New Roman" w:ascii="Times New Roman" w:hAnsi="Times New Roman"/>
          <w:color w:val="00000A"/>
          <w:sz w:val="24"/>
          <w:szCs w:val="24"/>
          <w:shd w:fill="FFFFFF" w:val="clear"/>
          <w:lang w:val="lt-LT"/>
        </w:rPr>
        <w:t xml:space="preserve"> </w:t>
      </w:r>
      <w:r>
        <w:rPr>
          <w:rFonts w:cs="Times New Roman" w:ascii="Times New Roman" w:hAnsi="Times New Roman"/>
          <w:color w:val="00000A"/>
          <w:sz w:val="24"/>
          <w:szCs w:val="24"/>
          <w:shd w:fill="FFFFFF" w:val="clear"/>
          <w:lang w:val="lt-LT"/>
        </w:rPr>
        <w:t>4.3. Pasiūlymų nagrinėjimo procedūra vyks Kauno marių regioninio parko direkcijoje adresu: Miškininkų g. 2, Vaišvydavos k., Kauno raj.</w:t>
      </w:r>
    </w:p>
    <w:p>
      <w:pPr>
        <w:pStyle w:val="Bodytext1"/>
        <w:ind w:left="0" w:right="0" w:hanging="0"/>
        <w:jc w:val="both"/>
        <w:rPr>
          <w:rFonts w:ascii="Times New Roman" w:hAnsi="Times New Roman" w:cs="Times New Roman"/>
          <w:color w:val="00000A"/>
          <w:sz w:val="24"/>
          <w:szCs w:val="24"/>
          <w:lang w:val="lt-LT"/>
        </w:rPr>
      </w:pPr>
      <w:r>
        <w:rPr>
          <w:rFonts w:cs="Times New Roman" w:ascii="Times New Roman" w:hAnsi="Times New Roman"/>
          <w:color w:val="00000A"/>
          <w:sz w:val="24"/>
          <w:szCs w:val="24"/>
          <w:shd w:fill="FFFFFF" w:val="clear"/>
          <w:lang w:val="lt-LT"/>
        </w:rPr>
        <w:t xml:space="preserve">  </w:t>
      </w:r>
      <w:r>
        <w:rPr>
          <w:rFonts w:cs="Times New Roman" w:ascii="Times New Roman" w:hAnsi="Times New Roman"/>
          <w:color w:val="00000A"/>
          <w:sz w:val="24"/>
          <w:szCs w:val="24"/>
          <w:shd w:fill="FFFFFF" w:val="clear"/>
          <w:lang w:val="lt-LT"/>
        </w:rPr>
        <w:t>4.4. Į pasiūlymų nagrinėjimo procedūrą tiekėjai nekviečiami.</w:t>
      </w:r>
    </w:p>
    <w:p>
      <w:pPr>
        <w:pStyle w:val="Bodytext1"/>
        <w:ind w:left="0" w:right="0" w:hanging="0"/>
        <w:jc w:val="both"/>
        <w:rPr>
          <w:rFonts w:ascii="Times New Roman" w:hAnsi="Times New Roman" w:cs="Times New Roman"/>
          <w:color w:val="00000A"/>
          <w:sz w:val="24"/>
          <w:szCs w:val="24"/>
          <w:lang w:val="lt-LT"/>
        </w:rPr>
      </w:pPr>
      <w:r>
        <w:rPr>
          <w:rFonts w:cs="Times New Roman" w:ascii="Times New Roman" w:hAnsi="Times New Roman"/>
          <w:color w:val="00000A"/>
          <w:sz w:val="24"/>
          <w:szCs w:val="24"/>
          <w:shd w:fill="FFFFFF" w:val="clear"/>
          <w:lang w:val="lt-LT"/>
        </w:rPr>
        <w:t xml:space="preserve">  </w:t>
      </w:r>
      <w:r>
        <w:rPr>
          <w:rFonts w:cs="Times New Roman" w:ascii="Times New Roman" w:hAnsi="Times New Roman"/>
          <w:color w:val="00000A"/>
          <w:sz w:val="24"/>
          <w:szCs w:val="24"/>
          <w:shd w:fill="FFFFFF" w:val="clear"/>
          <w:lang w:val="lt-LT"/>
        </w:rPr>
        <w:t>4.5.</w:t>
      </w:r>
      <w:r>
        <w:rPr>
          <w:rFonts w:cs="Times New Roman" w:ascii="Times New Roman" w:hAnsi="Times New Roman"/>
          <w:i/>
          <w:iCs/>
          <w:color w:val="00000A"/>
          <w:sz w:val="24"/>
          <w:szCs w:val="24"/>
          <w:shd w:fill="FFFFFF" w:val="clear"/>
          <w:lang w:val="lt-LT"/>
        </w:rPr>
        <w:t xml:space="preserve"> Tiekėjo pateiktas pasiūlymas turi galioti iki 90 dienų nuo pasiūlymo pateikimo.</w:t>
      </w:r>
    </w:p>
    <w:p>
      <w:pPr>
        <w:pStyle w:val="Bodytext1"/>
        <w:ind w:left="0" w:right="0" w:hanging="0"/>
        <w:jc w:val="both"/>
        <w:rPr>
          <w:rFonts w:ascii="Times New Roman" w:hAnsi="Times New Roman" w:cs="Times New Roman"/>
          <w:color w:val="00000A"/>
          <w:sz w:val="24"/>
          <w:szCs w:val="24"/>
          <w:shd w:fill="FFFFFF" w:val="clear"/>
          <w:lang w:val="lt-LT"/>
        </w:rPr>
      </w:pPr>
      <w:r>
        <w:rPr>
          <w:rFonts w:cs="Times New Roman" w:ascii="Times New Roman" w:hAnsi="Times New Roman"/>
          <w:color w:val="00000A"/>
          <w:sz w:val="24"/>
          <w:szCs w:val="24"/>
          <w:shd w:fill="FFFFFF" w:val="clear"/>
          <w:lang w:val="lt-LT"/>
        </w:rPr>
      </w:r>
    </w:p>
    <w:p>
      <w:pPr>
        <w:pStyle w:val="Bodytext1"/>
        <w:ind w:left="0" w:right="0" w:hanging="0"/>
        <w:jc w:val="both"/>
        <w:rPr>
          <w:rFonts w:cs="Times New Roman"/>
          <w:color w:val="00000A"/>
          <w:sz w:val="24"/>
          <w:szCs w:val="24"/>
          <w:highlight w:val="white"/>
          <w:lang w:val="lt-LT" w:eastAsia="lt-LT"/>
        </w:rPr>
      </w:pPr>
      <w:r>
        <w:rPr>
          <w:rFonts w:cs="Times New Roman" w:ascii="Times New Roman" w:hAnsi="Times New Roman"/>
          <w:color w:val="00000A"/>
          <w:sz w:val="24"/>
          <w:szCs w:val="24"/>
          <w:shd w:fill="FFFFFF" w:val="clear"/>
          <w:lang w:val="lt-LT"/>
        </w:rPr>
        <w:t>5. Informacija, ar pasiūlymą pateikęs tiekėjas yra pajėgus įvykdyti viešojo pirkimo - pardavimo sutartį (reikalavimai kvalifikacijai, informacija apie kvalifikaciją (jei tikrinama kvalifikacija)):</w:t>
      </w:r>
    </w:p>
    <w:p>
      <w:pPr>
        <w:pStyle w:val="Normal"/>
        <w:numPr>
          <w:ilvl w:val="0"/>
          <w:numId w:val="2"/>
        </w:numPr>
        <w:spacing w:before="0" w:after="0"/>
        <w:contextualSpacing/>
        <w:jc w:val="both"/>
        <w:rPr>
          <w:b/>
          <w:b/>
          <w:bCs/>
        </w:rPr>
      </w:pPr>
      <w:r>
        <w:rPr>
          <w:rFonts w:cs="Times New Roman"/>
          <w:color w:val="00000A"/>
          <w:sz w:val="24"/>
          <w:szCs w:val="24"/>
          <w:shd w:fill="FFFFFF" w:val="clear"/>
          <w:lang w:val="lt-LT" w:eastAsia="lt-LT"/>
        </w:rPr>
        <w:t>5.1. Tiekėjai, dalyvaujantys pirkime, turi atitikti šiuos minimalius kvalifikacijos reikalavimus:</w:t>
      </w:r>
    </w:p>
    <w:p>
      <w:pPr>
        <w:pStyle w:val="Normal"/>
        <w:numPr>
          <w:ilvl w:val="0"/>
          <w:numId w:val="2"/>
        </w:numPr>
        <w:spacing w:before="0" w:after="0"/>
        <w:contextualSpacing/>
        <w:jc w:val="both"/>
        <w:rPr>
          <w:b/>
          <w:b/>
          <w:bCs/>
        </w:rPr>
      </w:pPr>
      <w:r>
        <w:rPr>
          <w:b/>
          <w:bCs/>
        </w:rPr>
      </w:r>
    </w:p>
    <w:p>
      <w:pPr>
        <w:pStyle w:val="Pagrindinistekstas"/>
        <w:shd w:val="clear" w:fill="FFFFFF"/>
        <w:ind w:left="0" w:right="0" w:hanging="0"/>
        <w:jc w:val="both"/>
        <w:rPr/>
      </w:pPr>
      <w:r>
        <w:rPr>
          <w:b/>
          <w:bCs/>
          <w:lang w:val="lt-LT"/>
        </w:rPr>
        <w:t xml:space="preserve">1 lentelė. </w:t>
      </w:r>
      <w:r>
        <w:rPr>
          <w:b w:val="false"/>
          <w:bCs w:val="false"/>
          <w:lang w:val="lt-LT"/>
        </w:rPr>
        <w:t>Minimalūs tiekėjų kvalifikacijos reikalavimai</w:t>
      </w:r>
    </w:p>
    <w:p>
      <w:pPr>
        <w:pStyle w:val="Pagrindinistekstas"/>
        <w:shd w:val="clear" w:fill="FFFFFF"/>
        <w:ind w:left="0" w:right="0" w:hanging="0"/>
        <w:jc w:val="both"/>
        <w:rPr/>
      </w:pPr>
      <w:r>
        <w:rPr/>
      </w:r>
    </w:p>
    <w:tbl>
      <w:tblPr>
        <w:tblW w:w="9792" w:type="dxa"/>
        <w:jc w:val="left"/>
        <w:tblInd w:w="97" w:type="dxa"/>
        <w:tblBorders>
          <w:top w:val="single" w:sz="2" w:space="0" w:color="000001"/>
          <w:left w:val="single" w:sz="2" w:space="0" w:color="000001"/>
          <w:bottom w:val="single" w:sz="2" w:space="0" w:color="000001"/>
          <w:insideH w:val="single" w:sz="2" w:space="0" w:color="000001"/>
        </w:tblBorders>
        <w:tblCellMar>
          <w:top w:w="28" w:type="dxa"/>
          <w:left w:w="92" w:type="dxa"/>
          <w:bottom w:w="28" w:type="dxa"/>
          <w:right w:w="108" w:type="dxa"/>
        </w:tblCellMar>
      </w:tblPr>
      <w:tblGrid>
        <w:gridCol w:w="895"/>
        <w:gridCol w:w="3975"/>
        <w:gridCol w:w="4922"/>
      </w:tblGrid>
      <w:tr>
        <w:trPr/>
        <w:tc>
          <w:tcPr>
            <w:tcW w:w="895" w:type="dxa"/>
            <w:tcBorders>
              <w:top w:val="single" w:sz="2" w:space="0" w:color="000001"/>
              <w:left w:val="single" w:sz="2" w:space="0" w:color="000001"/>
              <w:bottom w:val="single" w:sz="2" w:space="0" w:color="000001"/>
              <w:insideH w:val="single" w:sz="2" w:space="0" w:color="000001"/>
            </w:tcBorders>
            <w:shd w:fill="auto" w:val="clear"/>
            <w:tcMar>
              <w:left w:w="92" w:type="dxa"/>
            </w:tcMar>
          </w:tcPr>
          <w:p>
            <w:pPr>
              <w:pStyle w:val="Lentelsturinys"/>
              <w:spacing w:before="0" w:after="283"/>
              <w:jc w:val="center"/>
              <w:rPr>
                <w:rFonts w:ascii="Times New Roman;serif" w:hAnsi="Times New Roman;serif" w:cs="Times New Roman;serif"/>
                <w:b/>
                <w:b/>
                <w:sz w:val="24"/>
                <w:lang w:val="lt-LT"/>
              </w:rPr>
            </w:pPr>
            <w:r>
              <w:rPr>
                <w:rFonts w:cs="Times New Roman;serif" w:ascii="Times New Roman;serif" w:hAnsi="Times New Roman;serif"/>
                <w:b/>
                <w:sz w:val="24"/>
                <w:lang w:val="lt-LT"/>
              </w:rPr>
              <w:t>Eil. Nr.</w:t>
            </w:r>
          </w:p>
        </w:tc>
        <w:tc>
          <w:tcPr>
            <w:tcW w:w="3975" w:type="dxa"/>
            <w:tcBorders>
              <w:top w:val="single" w:sz="2" w:space="0" w:color="000001"/>
              <w:left w:val="single" w:sz="2" w:space="0" w:color="000001"/>
              <w:bottom w:val="single" w:sz="2" w:space="0" w:color="000001"/>
              <w:insideH w:val="single" w:sz="2" w:space="0" w:color="000001"/>
            </w:tcBorders>
            <w:shd w:fill="auto" w:val="clear"/>
            <w:tcMar>
              <w:left w:w="92" w:type="dxa"/>
            </w:tcMar>
          </w:tcPr>
          <w:p>
            <w:pPr>
              <w:pStyle w:val="Lentelsturinys"/>
              <w:spacing w:before="0" w:after="283"/>
              <w:jc w:val="center"/>
              <w:rPr>
                <w:rFonts w:ascii="Times New Roman;serif" w:hAnsi="Times New Roman;serif" w:cs="Times New Roman;serif"/>
                <w:b/>
                <w:b/>
                <w:sz w:val="24"/>
                <w:lang w:val="lt-LT"/>
              </w:rPr>
            </w:pPr>
            <w:r>
              <w:rPr>
                <w:rFonts w:cs="Times New Roman;serif" w:ascii="Times New Roman;serif" w:hAnsi="Times New Roman;serif"/>
                <w:b/>
                <w:sz w:val="24"/>
                <w:lang w:val="lt-LT"/>
              </w:rPr>
              <w:t>Kvalifikacijos reikalavimai</w:t>
            </w:r>
          </w:p>
        </w:tc>
        <w:tc>
          <w:tcPr>
            <w:tcW w:w="492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92" w:type="dxa"/>
            </w:tcMar>
          </w:tcPr>
          <w:p>
            <w:pPr>
              <w:pStyle w:val="Lentelsturinys"/>
              <w:spacing w:before="0" w:after="283"/>
              <w:jc w:val="center"/>
              <w:rPr>
                <w:rFonts w:ascii="Times New Roman;serif" w:hAnsi="Times New Roman;serif" w:cs="Times New Roman;serif"/>
                <w:b/>
                <w:b/>
                <w:sz w:val="24"/>
                <w:lang w:val="lt-LT"/>
              </w:rPr>
            </w:pPr>
            <w:r>
              <w:rPr>
                <w:rFonts w:cs="Times New Roman;serif" w:ascii="Times New Roman;serif" w:hAnsi="Times New Roman;serif"/>
                <w:b/>
                <w:sz w:val="24"/>
                <w:lang w:val="lt-LT"/>
              </w:rPr>
              <w:t>Kvalifikacijos reikalavimus įrodantys dokumentai</w:t>
            </w:r>
          </w:p>
        </w:tc>
      </w:tr>
      <w:tr>
        <w:trPr/>
        <w:tc>
          <w:tcPr>
            <w:tcW w:w="895" w:type="dxa"/>
            <w:tcBorders>
              <w:top w:val="single" w:sz="2" w:space="0" w:color="000001"/>
              <w:left w:val="single" w:sz="2" w:space="0" w:color="000001"/>
              <w:bottom w:val="single" w:sz="2" w:space="0" w:color="000001"/>
              <w:insideH w:val="single" w:sz="2" w:space="0" w:color="000001"/>
            </w:tcBorders>
            <w:shd w:fill="auto" w:val="clear"/>
            <w:tcMar>
              <w:left w:w="92" w:type="dxa"/>
            </w:tcMar>
          </w:tcPr>
          <w:p>
            <w:pPr>
              <w:pStyle w:val="Lentelsturinys"/>
              <w:spacing w:before="0" w:after="283"/>
              <w:jc w:val="center"/>
              <w:rPr>
                <w:rFonts w:ascii="Times New Roman;serif" w:hAnsi="Times New Roman;serif" w:cs="Times New Roman;serif"/>
                <w:sz w:val="24"/>
                <w:lang w:val="lt-LT"/>
              </w:rPr>
            </w:pPr>
            <w:r>
              <w:rPr>
                <w:rFonts w:cs="Times New Roman;serif" w:ascii="Times New Roman;serif" w:hAnsi="Times New Roman;serif"/>
                <w:sz w:val="24"/>
                <w:lang w:val="lt-LT"/>
              </w:rPr>
              <w:t>5.1.1</w:t>
            </w:r>
          </w:p>
        </w:tc>
        <w:tc>
          <w:tcPr>
            <w:tcW w:w="3975" w:type="dxa"/>
            <w:tcBorders>
              <w:top w:val="single" w:sz="2" w:space="0" w:color="000001"/>
              <w:left w:val="single" w:sz="2" w:space="0" w:color="000001"/>
              <w:bottom w:val="single" w:sz="2" w:space="0" w:color="000001"/>
              <w:insideH w:val="single" w:sz="2" w:space="0" w:color="000001"/>
            </w:tcBorders>
            <w:shd w:fill="auto" w:val="clear"/>
            <w:tcMar>
              <w:left w:w="92" w:type="dxa"/>
            </w:tcMar>
          </w:tcPr>
          <w:p>
            <w:pPr>
              <w:pStyle w:val="Lentelsturinys"/>
              <w:spacing w:before="0" w:after="283"/>
              <w:jc w:val="both"/>
              <w:rPr>
                <w:rFonts w:ascii="Times New Roman;serif" w:hAnsi="Times New Roman;serif" w:cs="Times New Roman;serif"/>
                <w:sz w:val="24"/>
                <w:lang w:val="lt-LT"/>
              </w:rPr>
            </w:pPr>
            <w:r>
              <w:rPr>
                <w:rFonts w:cs="Times New Roman;serif" w:ascii="Times New Roman;serif" w:hAnsi="Times New Roman;serif"/>
                <w:sz w:val="24"/>
                <w:lang w:val="lt-LT"/>
              </w:rPr>
              <w:t>Tiekėjas (fizinis asmuo) arba tiekėjo (juridinio asmens) vadovas ar ūkinės bendrijos tikrasis narys (nariai), turintis (turintys) teisę juridinio asmens vardu sudaryti sandorį, ir buhalteris (buhalteriai) ar kitas (kiti) asmuo (asmenys), turintis (turintys) teisę surašyti ir pasirašyti tiekėjo apskaitos dokumentus, neturi teistumo (arba teistumas yra išnykęs ar panaikintas), dėl tiekėjo (juridinio asmens) per pastaruosius 5 metus nebuvo priimtas ir įsiteisėjęs apkaltinamasis teismo nuosprendis už dalyvavimą nusikalstamame susivienijime, jo organizavimą ar vadovavimą jam, už kyšininkavimą, tarpininko kyšininkavimą, papirkimą, sukčiavimą, kredito, paskolos ar tikslinės paramos panaudojimą ne pagal paskirtį ar nustatytą tvarką, kreditinį sukčiavimą, mokesčių nesumokėjimą, neteisingų duomenų apie pajamas, pelną ar turtą pateikimą, deklaracijos, ataskaitos ar kito dokumento nepateikimą, nusikalstamu būdu gauto turto įgijimą ar realizavimą, nusikalstamu būdu įgytų pinigų ar turto legalizavimą. Dėl tiekėjo iš kitos valstybės nėra priimtas ir įsiteisėjęs apkaltinamasis teismo nuosprendis už 2004 m. kovo 31 d. Europos Parlamento ir Tarybos direktyvos 2004/18/EB dėl viešojo darbų, prekių ir paslaugų pirkimo sutarčių sudarymo tvarkos derinimo 45 straipsnio 1 dalyje išvardytuose Europos Sąjungos teisės aktuose apibrėžtus nusikaltimus.</w:t>
            </w:r>
          </w:p>
        </w:tc>
        <w:tc>
          <w:tcPr>
            <w:tcW w:w="492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92" w:type="dxa"/>
            </w:tcMar>
          </w:tcPr>
          <w:p>
            <w:pPr>
              <w:pStyle w:val="Lentelsturinys"/>
              <w:spacing w:before="0" w:after="0"/>
              <w:jc w:val="both"/>
              <w:rPr>
                <w:rFonts w:ascii="Times New Roman;serif" w:hAnsi="Times New Roman;serif" w:cs="Times New Roman;serif"/>
                <w:b/>
                <w:b/>
                <w:color w:val="000000"/>
                <w:sz w:val="24"/>
                <w:u w:val="single"/>
                <w:lang w:val="lt-LT"/>
              </w:rPr>
            </w:pPr>
            <w:r>
              <w:rPr>
                <w:rFonts w:cs="Times New Roman;serif" w:ascii="Times New Roman;serif" w:hAnsi="Times New Roman;serif"/>
                <w:sz w:val="24"/>
                <w:lang w:val="lt-LT"/>
              </w:rPr>
              <w:t>Išrašas iš teismo sprendimo arba Informatikos ir ryšių departamento prie Vidaus reikalų ministerijos ar valstybės įmonės Registrų centro Lietuvos Respublikos Vyriausybės nustatyta tvarka išduotas dokumentas, patvirtinantis jungtinius kompetentingų institucijų tvarkomus duomenis, arba atitinkamos užsienio šalies institucijos dokumentas, išduotas ne anksčiau kaip 30 dienų iki pasiūlymų pateikimo termino pabaigos. Jei dokumentas išduotas anksčiau, tačiau jo galiojimo terminas ilgesnis nei pasiūlymų pateikimo terminas, toks dokumentas jo galiojimo laikotarpiu yra priimtinas.</w:t>
            </w:r>
          </w:p>
          <w:p>
            <w:pPr>
              <w:pStyle w:val="Lentelsturinys"/>
              <w:spacing w:before="0" w:after="283"/>
              <w:jc w:val="both"/>
              <w:rPr>
                <w:rFonts w:ascii="Times New Roman;serif" w:hAnsi="Times New Roman;serif" w:cs="Times New Roman;serif"/>
                <w:b/>
                <w:b/>
                <w:color w:val="000000"/>
                <w:sz w:val="24"/>
                <w:u w:val="single"/>
                <w:lang w:val="lt-LT"/>
              </w:rPr>
            </w:pPr>
            <w:r>
              <w:rPr>
                <w:rFonts w:cs="Times New Roman;serif" w:ascii="Times New Roman;serif" w:hAnsi="Times New Roman;serif"/>
                <w:b/>
                <w:color w:val="000000"/>
                <w:sz w:val="24"/>
                <w:u w:val="single"/>
                <w:lang w:val="lt-LT"/>
              </w:rPr>
              <w:t xml:space="preserve">Pateikiamos skaitmeninės dokumentų kopijos </w:t>
            </w:r>
          </w:p>
        </w:tc>
      </w:tr>
      <w:tr>
        <w:trPr/>
        <w:tc>
          <w:tcPr>
            <w:tcW w:w="895" w:type="dxa"/>
            <w:tcBorders>
              <w:top w:val="single" w:sz="2" w:space="0" w:color="000001"/>
              <w:left w:val="single" w:sz="2" w:space="0" w:color="000001"/>
              <w:bottom w:val="single" w:sz="2" w:space="0" w:color="000001"/>
              <w:insideH w:val="single" w:sz="2" w:space="0" w:color="000001"/>
            </w:tcBorders>
            <w:shd w:fill="auto" w:val="clear"/>
            <w:tcMar>
              <w:left w:w="92" w:type="dxa"/>
            </w:tcMar>
          </w:tcPr>
          <w:p>
            <w:pPr>
              <w:pStyle w:val="Lentelsturinys"/>
              <w:spacing w:before="0" w:after="283"/>
              <w:jc w:val="center"/>
              <w:rPr>
                <w:rFonts w:ascii="Times New Roman;serif" w:hAnsi="Times New Roman;serif" w:cs="Times New Roman;serif"/>
                <w:sz w:val="24"/>
                <w:lang w:val="lt-LT"/>
              </w:rPr>
            </w:pPr>
            <w:r>
              <w:rPr>
                <w:rFonts w:cs="Times New Roman;serif" w:ascii="Times New Roman;serif" w:hAnsi="Times New Roman;serif"/>
                <w:sz w:val="24"/>
                <w:lang w:val="lt-LT"/>
              </w:rPr>
              <w:t>5.1.2</w:t>
            </w:r>
          </w:p>
        </w:tc>
        <w:tc>
          <w:tcPr>
            <w:tcW w:w="3975" w:type="dxa"/>
            <w:tcBorders>
              <w:top w:val="single" w:sz="2" w:space="0" w:color="000001"/>
              <w:left w:val="single" w:sz="2" w:space="0" w:color="000001"/>
              <w:bottom w:val="single" w:sz="2" w:space="0" w:color="000001"/>
              <w:insideH w:val="single" w:sz="2" w:space="0" w:color="000001"/>
            </w:tcBorders>
            <w:shd w:fill="auto" w:val="clear"/>
            <w:tcMar>
              <w:left w:w="92" w:type="dxa"/>
            </w:tcMar>
          </w:tcPr>
          <w:p>
            <w:pPr>
              <w:pStyle w:val="Lentelsturinys"/>
              <w:spacing w:before="0" w:after="0"/>
              <w:jc w:val="both"/>
              <w:rPr>
                <w:rFonts w:ascii="Times New Roman;serif" w:hAnsi="Times New Roman;serif" w:cs="Times New Roman;serif"/>
                <w:sz w:val="24"/>
                <w:lang w:val="lt-LT"/>
              </w:rPr>
            </w:pPr>
            <w:r>
              <w:rPr>
                <w:rFonts w:cs="Times New Roman;serif" w:ascii="Times New Roman;serif" w:hAnsi="Times New Roman;serif"/>
                <w:sz w:val="24"/>
                <w:lang w:val="lt-LT"/>
              </w:rPr>
              <w:t>Tiekėjas nėra bankrutavęs, likviduojamas, nėra vykdomas restruktūrizacijos procesas, su kreditoriais sudaręs taikos sutarties, sustabdęs ar apribojęs savo veiklos arba jo padėtis pagal šalies, kurioje jis registruotas, įstatymus nėra tokia pati ar panaši. Jam nėra iškelta bankroto byla arba nėra vykdomas bankroto procesas ne teismo tvarka, nėra inicijuotos priverstinio likvidavimo procedūros ar susitarimo su kreditoriais arba jam nėra vykdomos analogiškos procedūros pagal šalies, kurioje jis registruotas, įstatymus.</w:t>
            </w:r>
          </w:p>
          <w:p>
            <w:pPr>
              <w:pStyle w:val="Lentelsturinys"/>
              <w:spacing w:before="0" w:after="283"/>
              <w:ind w:left="0" w:right="0" w:firstLine="176"/>
              <w:jc w:val="both"/>
              <w:rPr/>
            </w:pPr>
            <w:r>
              <w:rPr/>
            </w:r>
          </w:p>
        </w:tc>
        <w:tc>
          <w:tcPr>
            <w:tcW w:w="492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92" w:type="dxa"/>
            </w:tcMar>
          </w:tcPr>
          <w:p>
            <w:pPr>
              <w:pStyle w:val="Lentelsturinys"/>
              <w:spacing w:before="0" w:after="0"/>
              <w:jc w:val="both"/>
              <w:rPr>
                <w:rFonts w:ascii="Times New Roman;serif" w:hAnsi="Times New Roman;serif" w:cs="Times New Roman;serif"/>
                <w:b/>
                <w:b/>
                <w:color w:val="000000"/>
                <w:sz w:val="24"/>
                <w:u w:val="single"/>
              </w:rPr>
            </w:pPr>
            <w:r>
              <w:rPr>
                <w:rFonts w:cs="Times New Roman;serif" w:ascii="Times New Roman;serif" w:hAnsi="Times New Roman;serif"/>
                <w:sz w:val="24"/>
                <w:lang w:val="lt-LT"/>
              </w:rPr>
              <w:t>1) Valstybės įmonės Registrų centro arba atitinkamos užsienio šalies institucijos išduotas dokumentas (pateikiama skaitmeninė dokumento kopija), patvirtinantis, kad tiekėjas nėra bankrutavęs, nėra vykdomas restruktūrizacijos procesas, likviduojamas, jam nėra iškelta bankroto byla ar vykdomas bankroto procesas ne teismo tvarka, nėra inicijuotos priverstinio likvidavimo procedūros ar susitarimo su kreditoriais, arba išrašas iš teismo sprendimo, išduotas ne anksčiau kaip 30 dienų iki pasiūlymų pateikimo termino pabaigos. Jei dokumentas išduotas anksčiau, tačiau jo galiojimo terminas ilgesnis nei pasiūlymų pateikimo terminas, toks dokumentas jo galiojimo laikotarpiu yra priimtinas.</w:t>
            </w:r>
          </w:p>
          <w:p>
            <w:pPr>
              <w:pStyle w:val="Lentelsturinys"/>
              <w:spacing w:before="0" w:after="0"/>
              <w:jc w:val="both"/>
              <w:rPr>
                <w:rFonts w:ascii="Times New Roman;serif" w:hAnsi="Times New Roman;serif" w:cs="Times New Roman;serif"/>
                <w:sz w:val="24"/>
                <w:lang w:val="lt-LT"/>
              </w:rPr>
            </w:pPr>
            <w:r>
              <w:rPr>
                <w:rFonts w:cs="Times New Roman;serif" w:ascii="Times New Roman;serif" w:hAnsi="Times New Roman;serif"/>
                <w:b/>
                <w:color w:val="000000"/>
                <w:sz w:val="24"/>
                <w:u w:val="single"/>
              </w:rPr>
              <w:t xml:space="preserve">Pateikiamos skaitmeninės dokumentų kopijos </w:t>
            </w:r>
          </w:p>
          <w:p>
            <w:pPr>
              <w:pStyle w:val="Lentelsturinys"/>
              <w:spacing w:before="0" w:after="0"/>
              <w:jc w:val="both"/>
              <w:rPr>
                <w:rFonts w:ascii="Times New Roman;serif" w:hAnsi="Times New Roman;serif" w:cs="Times New Roman;serif"/>
                <w:sz w:val="24"/>
                <w:lang w:val="lt-LT"/>
              </w:rPr>
            </w:pPr>
            <w:r>
              <w:rPr>
                <w:rFonts w:cs="Times New Roman;serif" w:ascii="Times New Roman;serif" w:hAnsi="Times New Roman;serif"/>
                <w:sz w:val="24"/>
                <w:lang w:val="lt-LT"/>
              </w:rPr>
              <w:t>2) tiekėjo deklaraciją, patvirtinančią, kad tiekėjas nėra su kreditoriais sudaręs taikos sutarties, sustabdęs ar apribojęs savo veiklos, arba atitinkamos užsienio šalies institucijos išduotą dokumentą, patvirtinantį, kad tiekėjas nėra su kreditoriais sudaręs taikos sutarties, sustabdęs ar apribojęs savo veiklos arba jo padėtis pagal šalies, kurioje jis registruotas, įstatymus nėra tokia pati ar panaši, arba priesaikos ar oficialią deklaraciją, jei atitinkamoje šalyje neišduodamas minėtas dokumentas arba jis neapima visų keliamų klausimų.</w:t>
            </w:r>
          </w:p>
          <w:p>
            <w:pPr>
              <w:pStyle w:val="Point1"/>
              <w:spacing w:before="0" w:after="0"/>
              <w:ind w:left="0" w:hanging="0"/>
              <w:jc w:val="left"/>
              <w:rPr/>
            </w:pPr>
            <w:r>
              <w:rPr>
                <w:u w:val="single"/>
                <w:lang w:val="lt-LT"/>
              </w:rPr>
              <w:t>(deklaracijos formos: https://vpt.lrv.lt/lt/teisine-informacija/viesieji-pirkimai-2/tipines-dokumentu-formos/tiekejo-saziningumo-deklaracija-forma)</w:t>
            </w:r>
          </w:p>
          <w:p>
            <w:pPr>
              <w:pStyle w:val="Lentelsturinys"/>
              <w:spacing w:before="0" w:after="283"/>
              <w:jc w:val="both"/>
              <w:rPr>
                <w:rFonts w:ascii="Times New Roman;serif" w:hAnsi="Times New Roman;serif" w:cs="Times New Roman;serif"/>
                <w:b/>
                <w:b/>
                <w:color w:val="000000"/>
                <w:sz w:val="24"/>
                <w:u w:val="single"/>
                <w:lang w:val="lt-LT"/>
              </w:rPr>
            </w:pPr>
            <w:r>
              <w:rPr>
                <w:rFonts w:cs="Times New Roman;serif" w:ascii="Times New Roman;serif" w:hAnsi="Times New Roman;serif"/>
                <w:b/>
                <w:color w:val="000000"/>
                <w:sz w:val="24"/>
                <w:u w:val="single"/>
                <w:lang w:val="lt-LT"/>
              </w:rPr>
              <w:t xml:space="preserve">Pateikiamos skaitmeninės dokumentų kopijos </w:t>
            </w:r>
          </w:p>
        </w:tc>
      </w:tr>
      <w:tr>
        <w:trPr>
          <w:trHeight w:val="1410" w:hRule="atLeast"/>
        </w:trPr>
        <w:tc>
          <w:tcPr>
            <w:tcW w:w="895" w:type="dxa"/>
            <w:tcBorders>
              <w:top w:val="single" w:sz="2" w:space="0" w:color="000001"/>
              <w:left w:val="single" w:sz="2" w:space="0" w:color="000001"/>
              <w:bottom w:val="single" w:sz="2" w:space="0" w:color="000001"/>
              <w:insideH w:val="single" w:sz="2" w:space="0" w:color="000001"/>
            </w:tcBorders>
            <w:shd w:fill="auto" w:val="clear"/>
            <w:tcMar>
              <w:left w:w="92" w:type="dxa"/>
            </w:tcMar>
          </w:tcPr>
          <w:p>
            <w:pPr>
              <w:pStyle w:val="Lentelsturinys"/>
              <w:spacing w:before="0" w:after="283"/>
              <w:jc w:val="center"/>
              <w:rPr>
                <w:rFonts w:ascii="Times New Roman;serif" w:hAnsi="Times New Roman;serif" w:cs="Times New Roman;serif"/>
                <w:sz w:val="24"/>
                <w:lang w:val="lt-LT"/>
              </w:rPr>
            </w:pPr>
            <w:r>
              <w:rPr>
                <w:rFonts w:cs="Times New Roman;serif" w:ascii="Times New Roman;serif" w:hAnsi="Times New Roman;serif"/>
                <w:sz w:val="24"/>
                <w:lang w:val="lt-LT"/>
              </w:rPr>
              <w:t>5.1.3</w:t>
            </w:r>
          </w:p>
        </w:tc>
        <w:tc>
          <w:tcPr>
            <w:tcW w:w="3975" w:type="dxa"/>
            <w:tcBorders>
              <w:top w:val="single" w:sz="2" w:space="0" w:color="000001"/>
              <w:left w:val="single" w:sz="2" w:space="0" w:color="000001"/>
              <w:bottom w:val="single" w:sz="2" w:space="0" w:color="000001"/>
              <w:insideH w:val="single" w:sz="2" w:space="0" w:color="000001"/>
            </w:tcBorders>
            <w:shd w:fill="auto" w:val="clear"/>
            <w:tcMar>
              <w:left w:w="92" w:type="dxa"/>
            </w:tcMar>
          </w:tcPr>
          <w:p>
            <w:pPr>
              <w:pStyle w:val="Lentelsturinys"/>
              <w:spacing w:before="0" w:after="283"/>
              <w:jc w:val="both"/>
              <w:rPr>
                <w:rFonts w:ascii="Times New Roman;serif" w:hAnsi="Times New Roman;serif" w:cs="Times New Roman;serif"/>
                <w:sz w:val="24"/>
                <w:lang w:val="lt-LT"/>
              </w:rPr>
            </w:pPr>
            <w:r>
              <w:rPr>
                <w:rFonts w:cs="Times New Roman;serif" w:ascii="Times New Roman;serif" w:hAnsi="Times New Roman;serif"/>
                <w:sz w:val="24"/>
                <w:lang w:val="lt-LT"/>
              </w:rPr>
              <w:t>Tiekėjas (fizinis asmuo) neturi teistumo (arba teistumas yra išnykęs ar panaikintas), dėl tiekėjo (juridinio asmens) per pastaruosius 5 metus nebuvo priimtas ir įsiteisėjęs apkaltinamasis teismo nuosprendis už nusikalstamas veikas nuosavybei, turtinėms teisėms ir turtiniams interesams, intelektinei ar pramoninei nuosavybei, ekonomikai ir verslo tvarkai, finansų sistemai, valstybės tarnybai ir viešiesiems interesams, išskyrus šių konkurso sąlygų 5.1.1 punkte išvardytas veikas.</w:t>
            </w:r>
          </w:p>
        </w:tc>
        <w:tc>
          <w:tcPr>
            <w:tcW w:w="492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92" w:type="dxa"/>
            </w:tcMar>
          </w:tcPr>
          <w:p>
            <w:pPr>
              <w:pStyle w:val="Lentelsturinys"/>
              <w:spacing w:before="0" w:after="0"/>
              <w:jc w:val="both"/>
              <w:rPr>
                <w:rFonts w:ascii="Times New Roman;serif" w:hAnsi="Times New Roman;serif" w:cs="Times New Roman;serif"/>
                <w:b/>
                <w:b/>
                <w:color w:val="000000"/>
                <w:sz w:val="24"/>
                <w:u w:val="single"/>
                <w:lang w:val="lt-LT"/>
              </w:rPr>
            </w:pPr>
            <w:r>
              <w:rPr>
                <w:rFonts w:cs="Times New Roman;serif" w:ascii="Times New Roman;serif" w:hAnsi="Times New Roman;serif"/>
                <w:sz w:val="24"/>
                <w:lang w:val="lt-LT"/>
              </w:rPr>
              <w:t>Išrašas iš teismo sprendimo arba Informatikos ir ryšių departamento prie Vidaus reikalų ministerijos ar valstybės įmonės Registrų centro Lietuvos Respublikos Vyriausybės nustatyta tvarka išduotas dokumentas, patvirtinantis jungtinius kompetentingų institucijų tvarkomus duomenis, arba atitinkamos užsienio šalies institucijos išduotas dokumentas, išduotas ne anksčiau kaip 30 dienų iki pasiūlymų pateikimo termino pabaigos. Jei dokumentas išduotas anksčiau, tačiau jo galiojimo terminas ilgesnis nei pasiūlymų pateikimo terminas, toks dokumentas jo galiojimo laikotarpiu yra priimtinas.</w:t>
            </w:r>
          </w:p>
          <w:p>
            <w:pPr>
              <w:pStyle w:val="Lentelsturinys"/>
              <w:spacing w:before="0" w:after="283"/>
              <w:jc w:val="both"/>
              <w:rPr>
                <w:rFonts w:ascii="Times New Roman;serif" w:hAnsi="Times New Roman;serif" w:cs="Times New Roman;serif"/>
                <w:b/>
                <w:b/>
                <w:color w:val="000000"/>
                <w:sz w:val="24"/>
                <w:u w:val="single"/>
                <w:lang w:val="lt-LT"/>
              </w:rPr>
            </w:pPr>
            <w:r>
              <w:rPr>
                <w:rFonts w:cs="Times New Roman;serif" w:ascii="Times New Roman;serif" w:hAnsi="Times New Roman;serif"/>
                <w:b/>
                <w:color w:val="000000"/>
                <w:sz w:val="24"/>
                <w:u w:val="single"/>
                <w:lang w:val="lt-LT"/>
              </w:rPr>
              <w:t>Pateikiamos skaitmeninės dokumentų kopijos</w:t>
            </w:r>
          </w:p>
        </w:tc>
      </w:tr>
      <w:tr>
        <w:trPr/>
        <w:tc>
          <w:tcPr>
            <w:tcW w:w="895" w:type="dxa"/>
            <w:tcBorders>
              <w:top w:val="single" w:sz="2" w:space="0" w:color="000001"/>
              <w:left w:val="single" w:sz="2" w:space="0" w:color="000001"/>
              <w:bottom w:val="single" w:sz="2" w:space="0" w:color="000001"/>
              <w:insideH w:val="single" w:sz="2" w:space="0" w:color="000001"/>
            </w:tcBorders>
            <w:shd w:fill="auto" w:val="clear"/>
            <w:tcMar>
              <w:left w:w="92" w:type="dxa"/>
            </w:tcMar>
          </w:tcPr>
          <w:p>
            <w:pPr>
              <w:pStyle w:val="Lentelsturinys"/>
              <w:spacing w:before="0" w:after="283"/>
              <w:jc w:val="center"/>
              <w:rPr>
                <w:rFonts w:ascii="Times New Roman;serif" w:hAnsi="Times New Roman;serif" w:cs="Times New Roman;serif"/>
                <w:sz w:val="24"/>
                <w:lang w:val="lt-LT"/>
              </w:rPr>
            </w:pPr>
            <w:r>
              <w:rPr>
                <w:rFonts w:cs="Times New Roman;serif" w:ascii="Times New Roman;serif" w:hAnsi="Times New Roman;serif"/>
                <w:sz w:val="24"/>
                <w:lang w:val="lt-LT"/>
              </w:rPr>
              <w:t>5.1.4</w:t>
            </w:r>
          </w:p>
        </w:tc>
        <w:tc>
          <w:tcPr>
            <w:tcW w:w="3975" w:type="dxa"/>
            <w:tcBorders>
              <w:top w:val="single" w:sz="2" w:space="0" w:color="000001"/>
              <w:left w:val="single" w:sz="2" w:space="0" w:color="000001"/>
              <w:bottom w:val="single" w:sz="2" w:space="0" w:color="000001"/>
              <w:insideH w:val="single" w:sz="2" w:space="0" w:color="000001"/>
            </w:tcBorders>
            <w:shd w:fill="auto" w:val="clear"/>
            <w:tcMar>
              <w:left w:w="92" w:type="dxa"/>
            </w:tcMar>
          </w:tcPr>
          <w:p>
            <w:pPr>
              <w:pStyle w:val="Lentelsturinys"/>
              <w:spacing w:before="0" w:after="283"/>
              <w:jc w:val="both"/>
              <w:rPr>
                <w:rFonts w:ascii="Times New Roman;serif" w:hAnsi="Times New Roman;serif" w:cs="Times New Roman;serif"/>
                <w:sz w:val="24"/>
                <w:lang w:val="lt-LT"/>
              </w:rPr>
            </w:pPr>
            <w:r>
              <w:rPr>
                <w:rFonts w:cs="Times New Roman;serif" w:ascii="Times New Roman;serif" w:hAnsi="Times New Roman;serif"/>
                <w:sz w:val="24"/>
                <w:lang w:val="lt-LT"/>
              </w:rPr>
              <w:t>Tiekėjas yra įvykdęs įsipareigojimus, susijusius su mokesčių mokėjimu.</w:t>
            </w:r>
          </w:p>
        </w:tc>
        <w:tc>
          <w:tcPr>
            <w:tcW w:w="492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92" w:type="dxa"/>
            </w:tcMar>
          </w:tcPr>
          <w:p>
            <w:pPr>
              <w:pStyle w:val="Lentelsturinys"/>
              <w:spacing w:before="0" w:after="0"/>
              <w:jc w:val="both"/>
              <w:rPr>
                <w:rFonts w:ascii="Times New Roman;serif" w:hAnsi="Times New Roman;serif" w:cs="Times New Roman;serif"/>
                <w:b/>
                <w:b/>
                <w:color w:val="000000"/>
                <w:sz w:val="24"/>
                <w:u w:val="single"/>
                <w:lang w:val="lt-LT"/>
              </w:rPr>
            </w:pPr>
            <w:r>
              <w:rPr>
                <w:rFonts w:cs="Times New Roman;serif" w:ascii="Times New Roman;serif" w:hAnsi="Times New Roman;serif"/>
                <w:sz w:val="24"/>
                <w:lang w:val="lt-LT"/>
              </w:rPr>
              <w:t>Valstybinės mokesčių inspekcijos išduotas dokumentas arba valstybės įmonės Registrų centro Lietuvos Respublikos Vyriausybės nustatyta tvarka išduotas dokumentas, patvirtinantis jungtinius kompetentingų institucijų tvarkomus duomenis, arba atitinkamos užsienio šalies institucijos dokumentas (pateikiama skaitmeninė dokumento kopija), išduotas ne anksčiau kaip 30 dienų iki pasiūlymų pateikimo termino pabaigos. Jei dokumentas išduotas anksčiau,</w:t>
            </w:r>
          </w:p>
          <w:p>
            <w:pPr>
              <w:pStyle w:val="Lentelsturinys"/>
              <w:spacing w:before="0" w:after="283"/>
              <w:jc w:val="both"/>
              <w:rPr>
                <w:rFonts w:ascii="Times New Roman;serif" w:hAnsi="Times New Roman;serif" w:cs="Times New Roman;serif"/>
                <w:b/>
                <w:b/>
                <w:color w:val="000000"/>
                <w:sz w:val="24"/>
                <w:u w:val="single"/>
                <w:lang w:val="lt-LT"/>
              </w:rPr>
            </w:pPr>
            <w:r>
              <w:rPr>
                <w:rFonts w:cs="Times New Roman;serif" w:ascii="Times New Roman;serif" w:hAnsi="Times New Roman;serif"/>
                <w:b/>
                <w:color w:val="000000"/>
                <w:sz w:val="24"/>
                <w:u w:val="single"/>
                <w:lang w:val="lt-LT"/>
              </w:rPr>
              <w:t>Pateikiamos skaitmeninės dokumentų kopijos</w:t>
            </w:r>
          </w:p>
        </w:tc>
      </w:tr>
      <w:tr>
        <w:trPr/>
        <w:tc>
          <w:tcPr>
            <w:tcW w:w="895" w:type="dxa"/>
            <w:tcBorders>
              <w:top w:val="single" w:sz="2" w:space="0" w:color="000001"/>
              <w:left w:val="single" w:sz="2" w:space="0" w:color="000001"/>
              <w:bottom w:val="single" w:sz="2" w:space="0" w:color="000001"/>
              <w:insideH w:val="single" w:sz="2" w:space="0" w:color="000001"/>
            </w:tcBorders>
            <w:shd w:fill="auto" w:val="clear"/>
            <w:tcMar>
              <w:top w:w="0" w:type="dxa"/>
              <w:left w:w="92" w:type="dxa"/>
            </w:tcMar>
          </w:tcPr>
          <w:p>
            <w:pPr>
              <w:pStyle w:val="Lentelsturinys"/>
              <w:spacing w:before="0" w:after="283"/>
              <w:jc w:val="center"/>
              <w:rPr>
                <w:rFonts w:ascii="Times New Roman;serif" w:hAnsi="Times New Roman;serif" w:cs="Times New Roman;serif"/>
                <w:sz w:val="24"/>
                <w:lang w:val="lt-LT"/>
              </w:rPr>
            </w:pPr>
            <w:r>
              <w:rPr>
                <w:rFonts w:cs="Times New Roman;serif" w:ascii="Times New Roman;serif" w:hAnsi="Times New Roman;serif"/>
                <w:sz w:val="24"/>
                <w:lang w:val="lt-LT"/>
              </w:rPr>
              <w:t>5.1.5</w:t>
            </w:r>
          </w:p>
        </w:tc>
        <w:tc>
          <w:tcPr>
            <w:tcW w:w="3975" w:type="dxa"/>
            <w:tcBorders>
              <w:top w:val="single" w:sz="2" w:space="0" w:color="000001"/>
              <w:left w:val="single" w:sz="2" w:space="0" w:color="000001"/>
              <w:bottom w:val="single" w:sz="2" w:space="0" w:color="000001"/>
              <w:insideH w:val="single" w:sz="2" w:space="0" w:color="000001"/>
            </w:tcBorders>
            <w:shd w:fill="auto" w:val="clear"/>
            <w:tcMar>
              <w:top w:w="0" w:type="dxa"/>
              <w:left w:w="92" w:type="dxa"/>
            </w:tcMar>
          </w:tcPr>
          <w:p>
            <w:pPr>
              <w:pStyle w:val="Lentelsturinys"/>
              <w:spacing w:before="0" w:after="283"/>
              <w:jc w:val="both"/>
              <w:rPr>
                <w:rFonts w:ascii="Times New Roman;serif" w:hAnsi="Times New Roman;serif" w:cs="Times New Roman;serif"/>
                <w:sz w:val="24"/>
                <w:lang w:val="lt-LT"/>
              </w:rPr>
            </w:pPr>
            <w:r>
              <w:rPr>
                <w:rFonts w:cs="Times New Roman;serif" w:ascii="Times New Roman;serif" w:hAnsi="Times New Roman;serif"/>
                <w:sz w:val="24"/>
                <w:lang w:val="lt-LT"/>
              </w:rPr>
              <w:t>Tiekėjas yra įvykdęs įsipareigojimus, susijusius su socialinio draudimo įmokų mokėjimu.</w:t>
            </w:r>
          </w:p>
        </w:tc>
        <w:tc>
          <w:tcPr>
            <w:tcW w:w="492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top w:w="0" w:type="dxa"/>
              <w:left w:w="92" w:type="dxa"/>
            </w:tcMar>
          </w:tcPr>
          <w:p>
            <w:pPr>
              <w:pStyle w:val="Lentelsturinys"/>
              <w:spacing w:before="0" w:after="0"/>
              <w:jc w:val="both"/>
              <w:rPr>
                <w:rFonts w:ascii="Times New Roman;serif" w:hAnsi="Times New Roman;serif" w:cs="Times New Roman;serif"/>
                <w:b/>
                <w:b/>
                <w:color w:val="000000"/>
                <w:sz w:val="24"/>
                <w:u w:val="single"/>
                <w:lang w:val="lt-LT"/>
              </w:rPr>
            </w:pPr>
            <w:r>
              <w:rPr>
                <w:rFonts w:cs="Times New Roman;serif" w:ascii="Times New Roman;serif" w:hAnsi="Times New Roman;serif"/>
                <w:sz w:val="24"/>
                <w:lang w:val="lt-LT"/>
              </w:rPr>
              <w:t>Valstybinio socialinio draudimo įstaigos išduotas dokumentas arba valstybės įmonės Registrų centro Lietuvos Respublikos Vyriausybės nustatyta tvarka išduotas dokumentas, patvirtinantis jungtinius kompetentingų institucijų tvarkomus duomenis, arba atitinkamos užsienio šalies institucijos išduotas dokumentas (pateikiama skaitmeninė dokumento kopija), išduotas ne anksčiau kaip 30 dienų iki pasiūlymų pateikimo termino pabaigos. Jei dokumentas išduotas anksčiau, tačiau jo galiojimo terminas ilgesnis nei pasiūlymų pateikimo terminas, toks dokumentas jo galiojimo laikotarpiu yra priimtinas.</w:t>
            </w:r>
          </w:p>
          <w:p>
            <w:pPr>
              <w:pStyle w:val="Lentelsturinys"/>
              <w:spacing w:before="0" w:after="283"/>
              <w:jc w:val="both"/>
              <w:rPr>
                <w:rFonts w:ascii="Times New Roman;serif" w:hAnsi="Times New Roman;serif" w:cs="Times New Roman;serif"/>
                <w:b/>
                <w:b/>
                <w:color w:val="000000"/>
                <w:sz w:val="24"/>
                <w:u w:val="single"/>
                <w:lang w:val="lt-LT"/>
              </w:rPr>
            </w:pPr>
            <w:r>
              <w:rPr>
                <w:rFonts w:cs="Times New Roman;serif" w:ascii="Times New Roman;serif" w:hAnsi="Times New Roman;serif"/>
                <w:b/>
                <w:color w:val="000000"/>
                <w:sz w:val="24"/>
                <w:u w:val="single"/>
                <w:lang w:val="lt-LT"/>
              </w:rPr>
              <w:t>Pateikiamos skaitmeninės dokumentų kopijos</w:t>
            </w:r>
          </w:p>
        </w:tc>
      </w:tr>
      <w:tr>
        <w:trPr>
          <w:trHeight w:val="2955" w:hRule="atLeast"/>
        </w:trPr>
        <w:tc>
          <w:tcPr>
            <w:tcW w:w="895" w:type="dxa"/>
            <w:tcBorders>
              <w:top w:val="single" w:sz="2" w:space="0" w:color="000001"/>
              <w:left w:val="single" w:sz="2" w:space="0" w:color="000001"/>
              <w:bottom w:val="single" w:sz="2" w:space="0" w:color="000001"/>
              <w:insideH w:val="single" w:sz="2" w:space="0" w:color="000001"/>
            </w:tcBorders>
            <w:shd w:fill="auto" w:val="clear"/>
            <w:tcMar>
              <w:left w:w="92" w:type="dxa"/>
            </w:tcMar>
          </w:tcPr>
          <w:p>
            <w:pPr>
              <w:pStyle w:val="Lentelsturinys"/>
              <w:spacing w:before="0" w:after="283"/>
              <w:jc w:val="center"/>
              <w:rPr>
                <w:sz w:val="24"/>
              </w:rPr>
            </w:pPr>
            <w:r>
              <w:rPr>
                <w:rFonts w:cs="Times New Roman;serif" w:ascii="Times New Roman;serif" w:hAnsi="Times New Roman;serif"/>
                <w:sz w:val="24"/>
                <w:lang w:val="lt-LT"/>
              </w:rPr>
              <w:t>5.1.6</w:t>
            </w:r>
          </w:p>
        </w:tc>
        <w:tc>
          <w:tcPr>
            <w:tcW w:w="3975" w:type="dxa"/>
            <w:tcBorders>
              <w:top w:val="single" w:sz="2" w:space="0" w:color="000001"/>
              <w:left w:val="single" w:sz="2" w:space="0" w:color="000001"/>
              <w:bottom w:val="single" w:sz="2" w:space="0" w:color="000001"/>
              <w:insideH w:val="single" w:sz="2" w:space="0" w:color="000001"/>
            </w:tcBorders>
            <w:shd w:fill="auto" w:val="clear"/>
            <w:tcMar>
              <w:left w:w="92" w:type="dxa"/>
            </w:tcMar>
          </w:tcPr>
          <w:p>
            <w:pPr>
              <w:pStyle w:val="Lentelsturinys"/>
              <w:spacing w:before="0" w:after="283"/>
              <w:jc w:val="both"/>
              <w:rPr>
                <w:rFonts w:ascii="Times New Roman;serif" w:hAnsi="Times New Roman;serif" w:cs="Times New Roman;serif"/>
                <w:sz w:val="24"/>
                <w:lang w:val="lt-LT"/>
              </w:rPr>
            </w:pPr>
            <w:r>
              <w:rPr>
                <w:sz w:val="24"/>
              </w:rPr>
              <w:t>Tiekėjas turi teisę verstis ta veikla, kuri reikalinga pirkimo sutarčiai įvykdyti.</w:t>
            </w:r>
          </w:p>
        </w:tc>
        <w:tc>
          <w:tcPr>
            <w:tcW w:w="492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92" w:type="dxa"/>
            </w:tcMar>
          </w:tcPr>
          <w:p>
            <w:pPr>
              <w:pStyle w:val="Lentelsturinys"/>
              <w:spacing w:before="0" w:after="0"/>
              <w:ind w:left="0" w:right="0" w:hanging="567"/>
              <w:jc w:val="left"/>
              <w:rPr/>
            </w:pPr>
            <w:r>
              <w:rPr>
                <w:rFonts w:cs="Times New Roman;serif" w:ascii="Times New Roman;serif" w:hAnsi="Times New Roman;serif"/>
                <w:sz w:val="24"/>
                <w:lang w:val="lt-LT"/>
              </w:rPr>
              <w:t>Tiek Tiekėjo (juridinio asmens) registravimo pažymėjimo tinkamai patvirtinta kopija kartu su kitais dokumentais, patvirtinančiais tiekėjo teisę verstis atitinkama veikla arba atitinkamos užsienio šalies institucijos (profesinių ar veiklos tvarkytojų, valstybės įgaliotų institucijų pažymos, kaip yra nustatyta toje valstybėje, kurioje tiekėjas registruotas) išduotas dokumentas, liudijanti tiekėjo teisę verstis atitinkama veikla.</w:t>
            </w:r>
            <w:r>
              <w:rPr>
                <w:sz w:val="24"/>
                <w:lang w:val="en-GB"/>
              </w:rPr>
              <w:t xml:space="preserve"> </w:t>
            </w:r>
            <w:r>
              <w:rPr>
                <w:rFonts w:cs="Times New Roman;serif" w:ascii="Times New Roman;serif" w:hAnsi="Times New Roman;serif"/>
                <w:b/>
                <w:color w:val="000000"/>
                <w:sz w:val="24"/>
                <w:u w:val="single"/>
              </w:rPr>
              <w:t xml:space="preserve">Pateikiamos skaitmeninės dokumentų kopijos </w:t>
            </w:r>
          </w:p>
        </w:tc>
      </w:tr>
    </w:tbl>
    <w:p>
      <w:pPr>
        <w:pStyle w:val="Normal"/>
        <w:ind w:hanging="0"/>
        <w:jc w:val="both"/>
        <w:rPr/>
      </w:pPr>
      <w:r>
        <w:rPr>
          <w:b/>
          <w:sz w:val="20"/>
          <w:szCs w:val="20"/>
        </w:rPr>
        <w:t xml:space="preserve">   </w:t>
      </w:r>
      <w:r>
        <w:rPr>
          <w:b/>
          <w:sz w:val="20"/>
          <w:szCs w:val="20"/>
        </w:rPr>
        <w:t>Pastabos:</w:t>
      </w:r>
    </w:p>
    <w:p>
      <w:pPr>
        <w:pStyle w:val="Puslapinporat"/>
        <w:ind w:firstLine="851"/>
        <w:jc w:val="both"/>
        <w:rPr/>
      </w:pPr>
      <w:r>
        <w:rPr>
          <w:sz w:val="20"/>
          <w:szCs w:val="20"/>
        </w:rPr>
        <w:t>1) jeigu Tiekėjas negali pateikti nurodytų dokumentų, nes atitinkamoje šalyje tokie dokumentai neišduodami arba toje šalyje išduodami dokumentai neapima visų keliamų klausimų, pateikiama priesaikos deklaracija arba oficiali tiekėjo deklaracija;</w:t>
      </w:r>
      <w:r>
        <w:rPr>
          <w:color w:val="000000"/>
          <w:sz w:val="20"/>
          <w:szCs w:val="20"/>
        </w:rPr>
        <w:t xml:space="preserve"> </w:t>
      </w:r>
      <w:r>
        <w:rPr>
          <w:b/>
          <w:color w:val="000000"/>
          <w:sz w:val="20"/>
          <w:szCs w:val="20"/>
        </w:rPr>
        <w:t>Pateikiama atitinkamo dokumento skaitmeninė kopija.</w:t>
      </w:r>
    </w:p>
    <w:p>
      <w:pPr>
        <w:pStyle w:val="Puslapinporat"/>
        <w:ind w:firstLine="851"/>
        <w:jc w:val="both"/>
        <w:rPr/>
      </w:pPr>
      <w:r>
        <w:rPr>
          <w:sz w:val="20"/>
          <w:szCs w:val="20"/>
        </w:rPr>
        <w:t xml:space="preserve">2) užsienio valstybėse registruotų Tiekėjų atitikimą kvalifikaciniams reikalavimams įrodantys dokumentai legalizuojami vadovaujantis Lietuvos Respublikos Vyriausybės 2006 m. spalio 30 d. nutarimu Nr. 1079 „Dėl dokumentų legalizavimo ir tvirtinimo pažyma </w:t>
      </w:r>
      <w:r>
        <w:rPr>
          <w:i/>
          <w:sz w:val="20"/>
          <w:szCs w:val="20"/>
        </w:rPr>
        <w:t>(Apostille)</w:t>
      </w:r>
      <w:r>
        <w:rPr>
          <w:sz w:val="20"/>
          <w:szCs w:val="20"/>
        </w:rPr>
        <w:t xml:space="preserve"> tvarkos aprašo patvirtinimo“ (Žin., 2006, Nr. 118-4477) ir 1961 m. spalio 5 d. Hagos konvencija dėl užsienio valstybėse išduotų dokumentų legalizavimo panaikinimo (Žin., 1997, Nr. </w:t>
      </w:r>
      <w:hyperlink r:id="rId4">
        <w:r>
          <w:rPr>
            <w:rStyle w:val="InternetLink"/>
            <w:rFonts w:eastAsia="Calibri"/>
            <w:sz w:val="20"/>
            <w:szCs w:val="20"/>
          </w:rPr>
          <w:t>68-1699</w:t>
        </w:r>
      </w:hyperlink>
      <w:r>
        <w:rPr>
          <w:sz w:val="20"/>
          <w:szCs w:val="20"/>
        </w:rPr>
        <w:t>).</w:t>
      </w:r>
    </w:p>
    <w:p>
      <w:pPr>
        <w:pStyle w:val="Normal"/>
        <w:tabs>
          <w:tab w:val="left" w:pos="1134" w:leader="none"/>
        </w:tabs>
        <w:ind w:hanging="0"/>
        <w:jc w:val="both"/>
        <w:rPr/>
      </w:pPr>
      <w:r>
        <w:rPr/>
        <w:t>5.2. Tiekėjai, dalyvaujantys pirkime, turi atitikti minimalius kvalifikacijos reikalavimus ir pateikti konkurso sąlygų 4 priede nustatytos formos minimalių kvalifikacijos reikalavimų atitikties deklaraciją. Perkančioji organizacija atitiktį minimaliems kvalifikacijos reikalavimams patvirtinančių dokumentų reikalaus tik iš to dalyvio, kurio pasiūlymas pagal vertinimo rezultatus galės būti pripažintas laimėjusiu (iki pasiūlymų eilės nustatymo).</w:t>
      </w:r>
    </w:p>
    <w:p>
      <w:pPr>
        <w:pStyle w:val="Normal"/>
        <w:ind w:hanging="0"/>
        <w:jc w:val="both"/>
        <w:rPr/>
      </w:pPr>
      <w:r>
        <w:rPr/>
        <w:t>5.3. Tikrinant Tiekėjo kvalifikaciją, bus atsižvelgiama tik į kvalifikacinius duomenis tų, kurie bus nurodyti Tiekėjo pasiūlyme.</w:t>
      </w:r>
    </w:p>
    <w:p>
      <w:pPr>
        <w:pStyle w:val="Normal"/>
        <w:shd w:val="clear" w:fill="FFFFFF"/>
        <w:spacing w:before="0" w:after="0"/>
        <w:ind w:hanging="0"/>
        <w:jc w:val="both"/>
        <w:rPr>
          <w:rFonts w:cs="Times New Roman"/>
          <w:sz w:val="24"/>
          <w:szCs w:val="24"/>
          <w:lang w:val="lt-LT"/>
        </w:rPr>
      </w:pPr>
      <w:r>
        <w:rPr>
          <w:rFonts w:cs="Times New Roman"/>
          <w:sz w:val="24"/>
          <w:szCs w:val="24"/>
          <w:lang w:val="lt-LT"/>
        </w:rPr>
        <w:t>5.4. Tiekėjo pasiūlymas atmetamas, jeigu apie nustatytų reikalavimų atitikimą jis pateikė melagingą informaciją, kurią perkančioji organizacija gali įrodyti bet kokiomis teisėtomis priemonėmis.</w:t>
      </w:r>
    </w:p>
    <w:p>
      <w:pPr>
        <w:pStyle w:val="Bodytext1"/>
        <w:ind w:left="0" w:right="0" w:hanging="0"/>
        <w:jc w:val="both"/>
        <w:rPr>
          <w:rFonts w:ascii="Times New Roman" w:hAnsi="Times New Roman" w:cs="Times New Roman"/>
          <w:color w:val="00000A"/>
          <w:sz w:val="24"/>
          <w:szCs w:val="24"/>
          <w:highlight w:val="white"/>
          <w:lang w:val="lt-LT"/>
        </w:rPr>
      </w:pPr>
      <w:r>
        <w:rPr>
          <w:rFonts w:cs="Times New Roman" w:ascii="Times New Roman" w:hAnsi="Times New Roman"/>
          <w:color w:val="00000A"/>
          <w:sz w:val="24"/>
          <w:szCs w:val="24"/>
          <w:shd w:fill="FFFFFF" w:val="clear"/>
          <w:lang w:val="lt-LT"/>
        </w:rPr>
        <w:t>6. Kita pirkimų organizatoriaus būtina informacija:</w:t>
      </w:r>
    </w:p>
    <w:p>
      <w:pPr>
        <w:pStyle w:val="Bodytext1"/>
        <w:ind w:left="0" w:right="0" w:hanging="0"/>
        <w:jc w:val="both"/>
        <w:rPr/>
      </w:pPr>
      <w:r>
        <w:rPr>
          <w:rFonts w:cs="Times New Roman" w:ascii="Times New Roman" w:hAnsi="Times New Roman"/>
          <w:color w:val="00000A"/>
          <w:sz w:val="24"/>
          <w:szCs w:val="24"/>
          <w:shd w:fill="FFFFFF" w:val="clear"/>
          <w:lang w:val="lt-LT"/>
        </w:rPr>
        <w:t xml:space="preserve"> </w:t>
      </w:r>
      <w:r>
        <w:rPr>
          <w:rFonts w:cs="Times New Roman" w:ascii="Times New Roman" w:hAnsi="Times New Roman"/>
          <w:color w:val="00000A"/>
          <w:sz w:val="24"/>
          <w:szCs w:val="24"/>
          <w:shd w:fill="FFFFFF" w:val="clear"/>
          <w:lang w:val="lt-LT"/>
        </w:rPr>
        <w:t xml:space="preserve">6.1. Pirkimas vykdomas vadovaujantis Lietuvos Respublikos viešųjų pirkimų įstatymu, perkančiosios organizacijos pasitvirtintomis ir Centrinėje viešųjų pirkimų informacinėje sistemoje (CVPIS) bei </w:t>
      </w:r>
      <w:hyperlink r:id="rId5">
        <w:r>
          <w:rPr>
            <w:rStyle w:val="Internetosaitas"/>
            <w:rFonts w:cs="Times New Roman" w:ascii="Times New Roman" w:hAnsi="Times New Roman"/>
            <w:sz w:val="24"/>
            <w:szCs w:val="24"/>
            <w:highlight w:val="white"/>
            <w:lang w:val="lt-LT"/>
          </w:rPr>
          <w:t>www.kaunomarios.lt</w:t>
        </w:r>
      </w:hyperlink>
      <w:r>
        <w:rPr>
          <w:rFonts w:cs="Times New Roman" w:ascii="Times New Roman" w:hAnsi="Times New Roman"/>
          <w:color w:val="00000A"/>
          <w:sz w:val="24"/>
          <w:szCs w:val="24"/>
          <w:shd w:fill="FFFFFF" w:val="clear"/>
          <w:lang w:val="lt-LT"/>
        </w:rPr>
        <w:t xml:space="preserve"> paskelbtomis Kauno marių regioninio parko direkcijos supaprastintų viešųjų pirkimų taisyklėmis, Lietuvos Respublikos civiliniu kodeksu (Žin., 2000, Nr. 74-2262), kitais viešuosius pirkimus reglamentuojančiais teisės aktais.</w:t>
      </w:r>
    </w:p>
    <w:p>
      <w:pPr>
        <w:pStyle w:val="Bodytext1"/>
        <w:ind w:left="0" w:right="0" w:hanging="0"/>
        <w:jc w:val="both"/>
        <w:rPr/>
      </w:pPr>
      <w:r>
        <w:rPr>
          <w:rFonts w:cs="Times New Roman" w:ascii="Times New Roman" w:hAnsi="Times New Roman"/>
          <w:color w:val="00000A"/>
          <w:sz w:val="24"/>
          <w:szCs w:val="24"/>
          <w:shd w:fill="FFFFFF" w:val="clear"/>
          <w:lang w:val="lt-LT"/>
        </w:rPr>
        <w:t xml:space="preserve"> </w:t>
      </w:r>
      <w:r>
        <w:rPr>
          <w:rFonts w:cs="Times New Roman" w:ascii="Times New Roman" w:hAnsi="Times New Roman"/>
          <w:color w:val="00000A"/>
          <w:sz w:val="24"/>
          <w:szCs w:val="24"/>
          <w:shd w:fill="FFFFFF" w:val="clear"/>
          <w:lang w:val="lt-LT"/>
        </w:rPr>
        <w:t>6.2. Pateikdamas pasiūlymą, tiekėjas sutinka su pirkimo dokumentuose nustatytomis sąlygomis ir patvirtina, kad jo pasiūlyme pateikta informacija yra teisinga ir apima viską, ko reikia tinkamam sutarties įvykdymui.</w:t>
      </w:r>
    </w:p>
    <w:p>
      <w:pPr>
        <w:pStyle w:val="Bodytext1"/>
        <w:ind w:left="0" w:right="0" w:hanging="0"/>
        <w:jc w:val="both"/>
        <w:rPr/>
      </w:pPr>
      <w:r>
        <w:rPr>
          <w:rFonts w:cs="Times New Roman" w:ascii="Times New Roman" w:hAnsi="Times New Roman"/>
          <w:color w:val="00000A"/>
          <w:sz w:val="24"/>
          <w:szCs w:val="24"/>
          <w:shd w:fill="FFFFFF" w:val="clear"/>
          <w:lang w:val="lt-LT"/>
        </w:rPr>
        <w:t xml:space="preserve"> </w:t>
      </w:r>
      <w:r>
        <w:rPr>
          <w:rFonts w:cs="Times New Roman" w:ascii="Times New Roman" w:hAnsi="Times New Roman"/>
          <w:color w:val="00000A"/>
          <w:sz w:val="24"/>
          <w:szCs w:val="24"/>
          <w:shd w:fill="FFFFFF" w:val="clear"/>
          <w:lang w:val="lt-LT"/>
        </w:rPr>
        <w:t>6.3. Tiekėjas</w:t>
      </w:r>
      <w:r>
        <w:rPr>
          <w:rFonts w:cs="Times New Roman" w:ascii="Times New Roman" w:hAnsi="Times New Roman"/>
          <w:sz w:val="24"/>
          <w:szCs w:val="24"/>
          <w:lang w:val="lt-LT"/>
        </w:rPr>
        <w:t xml:space="preserve"> </w:t>
      </w:r>
      <w:r>
        <w:rPr>
          <w:rFonts w:cs="Times New Roman" w:ascii="Times New Roman" w:hAnsi="Times New Roman"/>
          <w:b w:val="false"/>
          <w:color w:val="00000A"/>
          <w:sz w:val="24"/>
          <w:szCs w:val="24"/>
          <w:shd w:fill="FFFFFF" w:val="clear"/>
          <w:lang w:val="lt-LT"/>
        </w:rPr>
        <w:t>privalo būti susipažinęs su saugomų teritorijų tvarkymo specifika, kurią reglamentuoja Saugomų teritorijų įstatymas (</w:t>
      </w:r>
      <w:r>
        <w:rPr>
          <w:rFonts w:eastAsia="SimSun;宋体" w:cs="Times New Roman" w:ascii="Times New Roman" w:hAnsi="Times New Roman"/>
          <w:b w:val="false"/>
          <w:color w:val="000000"/>
          <w:sz w:val="24"/>
          <w:szCs w:val="24"/>
          <w:shd w:fill="FFFFFF" w:val="clear"/>
          <w:lang w:val="lt-LT" w:eastAsia="zh-CN"/>
        </w:rPr>
        <w:t>Žin., 1993, Nr. 63-1188; 2001, Nr.108-3902</w:t>
      </w:r>
      <w:r>
        <w:rPr>
          <w:rFonts w:cs="Times New Roman" w:ascii="Times New Roman" w:hAnsi="Times New Roman"/>
          <w:b w:val="false"/>
          <w:color w:val="00000A"/>
          <w:sz w:val="24"/>
          <w:szCs w:val="24"/>
          <w:shd w:fill="FFFFFF" w:val="clear"/>
          <w:lang w:val="lt-LT"/>
        </w:rPr>
        <w:t xml:space="preserve">) bei kiti poįstatyminiai teisės aktai, kad savo atsakomybe galėtų įvertinti išlaidas ir riziką bei visus duomenis, kurių gali prireikti rengiant pasiūlymą ir pasirašant sutartį. </w:t>
      </w:r>
    </w:p>
    <w:p>
      <w:pPr>
        <w:pStyle w:val="Bodytext1"/>
        <w:ind w:left="0" w:right="0" w:hanging="0"/>
        <w:jc w:val="both"/>
        <w:rPr>
          <w:rFonts w:ascii="Times New Roman" w:hAnsi="Times New Roman" w:cs="Times New Roman"/>
          <w:color w:val="00000A"/>
          <w:sz w:val="24"/>
          <w:szCs w:val="24"/>
          <w:shd w:fill="FFFFFF" w:val="clear"/>
          <w:lang w:val="lt-LT"/>
        </w:rPr>
      </w:pPr>
      <w:r>
        <w:rPr>
          <w:rFonts w:cs="Times New Roman" w:ascii="Times New Roman" w:hAnsi="Times New Roman"/>
          <w:color w:val="00000A"/>
          <w:sz w:val="24"/>
          <w:szCs w:val="24"/>
          <w:shd w:fill="FFFFFF" w:val="clear"/>
          <w:lang w:val="lt-LT"/>
        </w:rPr>
      </w:r>
    </w:p>
    <w:p>
      <w:pPr>
        <w:pStyle w:val="Normal"/>
        <w:jc w:val="both"/>
        <w:rPr>
          <w:rFonts w:cs="Times New Roman"/>
          <w:sz w:val="24"/>
          <w:szCs w:val="24"/>
          <w:highlight w:val="white"/>
          <w:lang w:val="lt-LT"/>
        </w:rPr>
      </w:pPr>
      <w:r>
        <w:rPr>
          <w:rFonts w:cs="Times New Roman"/>
          <w:sz w:val="24"/>
          <w:szCs w:val="24"/>
          <w:shd w:fill="FFFFFF" w:val="clear"/>
          <w:lang w:val="lt-LT"/>
        </w:rPr>
        <w:t>7. Asmens, kuris teikia paaiškinimus, pareigos, vardas, pavardė, kontaktiniai duomenys:</w:t>
      </w:r>
    </w:p>
    <w:p>
      <w:pPr>
        <w:pStyle w:val="Normal"/>
        <w:jc w:val="both"/>
        <w:rPr/>
      </w:pPr>
      <w:r>
        <w:rPr>
          <w:rFonts w:cs="Times New Roman"/>
          <w:sz w:val="24"/>
          <w:szCs w:val="24"/>
          <w:shd w:fill="FFFFFF" w:val="clear"/>
          <w:lang w:val="lt-LT"/>
        </w:rPr>
        <w:t xml:space="preserve">Vyriausiasis specialistas Giedrius Vaivilavičius, el. p: </w:t>
      </w:r>
      <w:hyperlink r:id="rId6">
        <w:r>
          <w:rPr>
            <w:rStyle w:val="Internetosaitas"/>
            <w:rFonts w:cs="Times New Roman"/>
            <w:sz w:val="24"/>
            <w:szCs w:val="24"/>
            <w:highlight w:val="white"/>
            <w:lang w:val="lt-LT"/>
          </w:rPr>
          <w:t>g.vaivilavicius@kaunomarios.lt</w:t>
        </w:r>
      </w:hyperlink>
      <w:r>
        <w:rPr>
          <w:rFonts w:cs="Times New Roman"/>
          <w:sz w:val="24"/>
          <w:szCs w:val="24"/>
          <w:shd w:fill="FFFFFF" w:val="clear"/>
          <w:lang w:val="lt-LT"/>
        </w:rPr>
        <w:t>, tel. 8 37 383071.</w:t>
      </w:r>
    </w:p>
    <w:p>
      <w:pPr>
        <w:pStyle w:val="Normal"/>
        <w:jc w:val="both"/>
        <w:rPr>
          <w:rFonts w:cs="Times New Roman"/>
          <w:sz w:val="10"/>
          <w:szCs w:val="10"/>
          <w:shd w:fill="FFFFFF" w:val="clear"/>
          <w:lang w:val="lt-LT"/>
        </w:rPr>
      </w:pPr>
      <w:r>
        <w:rPr>
          <w:rFonts w:cs="Times New Roman"/>
          <w:sz w:val="10"/>
          <w:szCs w:val="10"/>
          <w:shd w:fill="FFFFFF" w:val="clear"/>
          <w:lang w:val="lt-LT"/>
        </w:rPr>
      </w:r>
    </w:p>
    <w:p>
      <w:pPr>
        <w:pStyle w:val="Normal"/>
        <w:jc w:val="both"/>
        <w:rPr>
          <w:rFonts w:cs="Times New Roman"/>
          <w:sz w:val="24"/>
          <w:szCs w:val="24"/>
          <w:highlight w:val="white"/>
          <w:lang w:val="lt-LT"/>
        </w:rPr>
      </w:pPr>
      <w:r>
        <w:rPr>
          <w:rFonts w:cs="Times New Roman"/>
          <w:sz w:val="24"/>
          <w:szCs w:val="24"/>
          <w:shd w:fill="FFFFFF" w:val="clear"/>
          <w:lang w:val="lt-LT"/>
        </w:rPr>
        <w:t>8. Pirkimo organizatorius, pareigos, vardas, pavardė, kontaktiniai duomenys:</w:t>
      </w:r>
    </w:p>
    <w:p>
      <w:pPr>
        <w:pStyle w:val="Normal"/>
        <w:jc w:val="both"/>
        <w:rPr/>
      </w:pPr>
      <w:r>
        <w:rPr>
          <w:rFonts w:cs="Times New Roman"/>
          <w:sz w:val="24"/>
          <w:szCs w:val="24"/>
          <w:shd w:fill="FFFFFF" w:val="clear"/>
          <w:lang w:val="lt-LT"/>
        </w:rPr>
        <w:t xml:space="preserve">Vyriausiasis specialistas Evaldas Makrickas el. p: </w:t>
      </w:r>
      <w:hyperlink r:id="rId7">
        <w:r>
          <w:rPr>
            <w:rStyle w:val="Internetosaitas"/>
            <w:rFonts w:cs="Times New Roman"/>
            <w:sz w:val="24"/>
            <w:szCs w:val="24"/>
            <w:highlight w:val="white"/>
            <w:lang w:val="lt-LT"/>
          </w:rPr>
          <w:t>e.makrickas@kaunomarios.lt</w:t>
        </w:r>
      </w:hyperlink>
      <w:r>
        <w:rPr>
          <w:rFonts w:cs="Times New Roman"/>
          <w:sz w:val="24"/>
          <w:szCs w:val="24"/>
          <w:shd w:fill="FFFFFF" w:val="clear"/>
          <w:lang w:val="lt-LT"/>
        </w:rPr>
        <w:t>, tel. 8-37 383071.</w:t>
      </w:r>
      <w:r>
        <w:br w:type="page"/>
      </w:r>
    </w:p>
    <w:p>
      <w:pPr>
        <w:pStyle w:val="Numatytasis"/>
        <w:spacing w:lineRule="atLeast" w:line="100"/>
        <w:jc w:val="right"/>
        <w:rPr>
          <w:rFonts w:ascii="Times New Roman" w:hAnsi="Times New Roman" w:cs="Times New Roman"/>
          <w:b w:val="false"/>
          <w:b w:val="false"/>
          <w:bCs w:val="false"/>
          <w:sz w:val="24"/>
          <w:lang w:val="lt-LT" w:bidi="ar-SA"/>
        </w:rPr>
      </w:pPr>
      <w:r>
        <w:rPr>
          <w:rFonts w:cs="Times New Roman"/>
          <w:b w:val="false"/>
          <w:bCs w:val="false"/>
          <w:sz w:val="24"/>
          <w:lang w:val="lt-LT" w:bidi="ar-SA"/>
        </w:rPr>
        <w:t>1 priedas</w:t>
      </w:r>
    </w:p>
    <w:p>
      <w:pPr>
        <w:pStyle w:val="Normal"/>
        <w:ind w:left="0" w:right="0" w:hanging="0"/>
        <w:jc w:val="center"/>
        <w:rPr>
          <w:b/>
          <w:b/>
          <w:caps/>
          <w:sz w:val="24"/>
          <w:szCs w:val="24"/>
        </w:rPr>
      </w:pPr>
      <w:r>
        <w:rPr>
          <w:b/>
          <w:caps/>
          <w:sz w:val="24"/>
          <w:szCs w:val="24"/>
        </w:rPr>
      </w:r>
    </w:p>
    <w:p>
      <w:pPr>
        <w:pStyle w:val="Normal"/>
        <w:ind w:left="0" w:right="0" w:hanging="0"/>
        <w:jc w:val="center"/>
        <w:rPr/>
      </w:pPr>
      <w:r>
        <w:rPr>
          <w:b/>
          <w:caps/>
          <w:sz w:val="24"/>
          <w:szCs w:val="24"/>
        </w:rPr>
        <w:t>Techninė specifikacija</w:t>
      </w:r>
    </w:p>
    <w:p>
      <w:pPr>
        <w:pStyle w:val="Normal"/>
        <w:ind w:left="0" w:right="0" w:hanging="0"/>
        <w:jc w:val="center"/>
        <w:rPr>
          <w:b/>
          <w:b/>
          <w:caps/>
          <w:szCs w:val="24"/>
        </w:rPr>
      </w:pPr>
      <w:r>
        <w:rPr>
          <w:b/>
          <w:caps/>
          <w:szCs w:val="24"/>
        </w:rPr>
      </w:r>
    </w:p>
    <w:p>
      <w:pPr>
        <w:pStyle w:val="Normal"/>
        <w:ind w:left="0" w:right="0" w:hanging="0"/>
        <w:jc w:val="center"/>
        <w:rPr/>
      </w:pPr>
      <w:r>
        <w:rPr>
          <w:b/>
          <w:sz w:val="24"/>
          <w:szCs w:val="24"/>
        </w:rPr>
        <w:t>I. ĮVADINĖ INFORMACIJA</w:t>
      </w:r>
    </w:p>
    <w:p>
      <w:pPr>
        <w:pStyle w:val="Normal"/>
        <w:ind w:left="0" w:right="0" w:firstLine="680"/>
        <w:jc w:val="both"/>
        <w:rPr/>
      </w:pPr>
      <w:r>
        <w:rPr>
          <w:sz w:val="24"/>
          <w:szCs w:val="24"/>
        </w:rPr>
        <w:t>1. Perkančioji organizacija – Kauno marių regioninio parko direkcija planuoja pirkti  „Natura 2000“ teritorijos Kauno marių Arlaviškių ornitologinio draustinio (Paukščių salų) tvarkymo paslaugos. Įgyvendindama šiuos tvarkymo darbus direkcija siekia pagerinti sąlygas perėti retiems ir saugomiems paukščiams, bei augti retų augalų bendrijoms</w:t>
      </w:r>
    </w:p>
    <w:p>
      <w:pPr>
        <w:pStyle w:val="Normal"/>
        <w:ind w:left="0" w:right="0" w:firstLine="680"/>
        <w:jc w:val="both"/>
        <w:rPr>
          <w:b/>
          <w:b/>
          <w:caps/>
          <w:sz w:val="24"/>
          <w:szCs w:val="24"/>
        </w:rPr>
      </w:pPr>
      <w:r>
        <w:rPr>
          <w:b/>
          <w:caps/>
          <w:sz w:val="24"/>
          <w:szCs w:val="24"/>
        </w:rPr>
      </w:r>
    </w:p>
    <w:p>
      <w:pPr>
        <w:pStyle w:val="Normal"/>
        <w:ind w:left="0" w:right="0" w:firstLine="680"/>
        <w:jc w:val="both"/>
        <w:rPr/>
      </w:pPr>
      <w:r>
        <w:rPr>
          <w:b/>
          <w:caps/>
          <w:sz w:val="24"/>
          <w:szCs w:val="24"/>
        </w:rPr>
        <w:t xml:space="preserve">II. </w:t>
      </w:r>
      <w:bookmarkStart w:id="2" w:name="__DdeLink__1011_451009995"/>
      <w:bookmarkEnd w:id="2"/>
      <w:r>
        <w:rPr>
          <w:b/>
          <w:caps/>
          <w:sz w:val="24"/>
          <w:szCs w:val="24"/>
        </w:rPr>
        <w:t>„Natura 2000“ teritorijos Kauno marių Arlaviškių ornitologinio draustinio (Paukščių sal</w:t>
      </w:r>
      <w:r>
        <w:rPr>
          <w:b/>
          <w:caps/>
          <w:sz w:val="24"/>
          <w:szCs w:val="24"/>
        </w:rPr>
        <w:t>ų</w:t>
      </w:r>
      <w:r>
        <w:rPr>
          <w:b/>
          <w:caps/>
          <w:sz w:val="24"/>
          <w:szCs w:val="24"/>
        </w:rPr>
        <w:t xml:space="preserve">) </w:t>
      </w:r>
    </w:p>
    <w:p>
      <w:pPr>
        <w:pStyle w:val="Normal"/>
        <w:jc w:val="both"/>
        <w:rPr>
          <w:sz w:val="24"/>
          <w:szCs w:val="24"/>
        </w:rPr>
      </w:pPr>
      <w:r>
        <w:rPr>
          <w:sz w:val="24"/>
          <w:szCs w:val="24"/>
        </w:rPr>
      </w:r>
    </w:p>
    <w:p>
      <w:pPr>
        <w:pStyle w:val="Normal"/>
        <w:ind w:left="0" w:right="0" w:firstLine="680"/>
        <w:jc w:val="both"/>
        <w:rPr/>
      </w:pPr>
      <w:r>
        <w:rPr>
          <w:sz w:val="24"/>
          <w:szCs w:val="24"/>
        </w:rPr>
        <w:t>2. Adresas – Kauno marios ties Arlaviškių kaimu, Taurakiemio sen., Kauno marių regioniniame parke, Arlaviškių ornitologiniame draustinyje</w:t>
      </w:r>
    </w:p>
    <w:p>
      <w:pPr>
        <w:pStyle w:val="Normal"/>
        <w:ind w:left="0" w:right="0" w:firstLine="680"/>
        <w:jc w:val="both"/>
        <w:rPr/>
      </w:pPr>
      <w:r>
        <w:rPr>
          <w:sz w:val="24"/>
          <w:szCs w:val="24"/>
        </w:rPr>
        <w:t>3. Darbų savybės ir apimtys Arlaviškių ornitologiniame draustinyje (Paukščių sal</w:t>
      </w:r>
      <w:r>
        <w:rPr>
          <w:sz w:val="24"/>
          <w:szCs w:val="24"/>
        </w:rPr>
        <w:t>ų</w:t>
      </w:r>
      <w:r>
        <w:rPr>
          <w:sz w:val="24"/>
          <w:szCs w:val="24"/>
        </w:rPr>
        <w:t>):</w:t>
      </w:r>
    </w:p>
    <w:p>
      <w:pPr>
        <w:pStyle w:val="Normal"/>
        <w:ind w:left="0" w:right="0" w:firstLine="680"/>
        <w:jc w:val="both"/>
        <w:rPr/>
      </w:pPr>
      <w:r>
        <w:rPr>
          <w:sz w:val="24"/>
          <w:szCs w:val="24"/>
        </w:rPr>
        <w:t xml:space="preserve">3.1. Tvarkymo plotuose Nr. 1, 2 ir 3, kurių bendras plotas - 4 ha (pridedama schema 2 priedas), vieną kartą per sezoną (2016 m. rugpjūčio-rugsėjo mėn.) nupjauti žolinę ir sumedėjusią augaliją. </w:t>
      </w:r>
    </w:p>
    <w:p>
      <w:pPr>
        <w:pStyle w:val="Normal"/>
        <w:ind w:left="0" w:right="0" w:firstLine="680"/>
        <w:jc w:val="both"/>
        <w:rPr/>
      </w:pPr>
      <w:r>
        <w:rPr>
          <w:sz w:val="24"/>
          <w:szCs w:val="24"/>
        </w:rPr>
        <w:t xml:space="preserve">3.2. Tvarkymo darbai turi būti atlikti iki </w:t>
      </w:r>
      <w:r>
        <w:rPr>
          <w:b/>
          <w:bCs/>
          <w:sz w:val="24"/>
          <w:szCs w:val="24"/>
        </w:rPr>
        <w:t>šių metų rugsėjo 15 d.</w:t>
      </w:r>
    </w:p>
    <w:p>
      <w:pPr>
        <w:pStyle w:val="Normal"/>
        <w:ind w:left="0" w:right="0" w:firstLine="680"/>
        <w:jc w:val="both"/>
        <w:rPr>
          <w:b w:val="false"/>
          <w:b w:val="false"/>
          <w:bCs w:val="false"/>
        </w:rPr>
      </w:pPr>
      <w:r>
        <w:rPr>
          <w:b w:val="false"/>
          <w:bCs w:val="false"/>
          <w:sz w:val="24"/>
          <w:szCs w:val="24"/>
        </w:rPr>
        <w:t>3.3. Žilinę augaliją ir krūmus surinks Kauno marių regioninio parko direkcijos surengta talka, darbų vykdytojui krūmų ir medžių nereikės rinkti.</w:t>
      </w:r>
    </w:p>
    <w:p>
      <w:pPr>
        <w:pStyle w:val="Normal"/>
        <w:ind w:left="0" w:right="0" w:firstLine="680"/>
        <w:jc w:val="both"/>
        <w:rPr/>
      </w:pPr>
      <w:r>
        <w:rPr>
          <w:b w:val="false"/>
          <w:bCs w:val="false"/>
          <w:sz w:val="24"/>
          <w:szCs w:val="24"/>
        </w:rPr>
        <w:t xml:space="preserve">3.4. Į Paukščių salas darbų vykdytojas turės nukeliauti plaustu ar kitu vandens transportu. Vandens transportą galima nuleisti į Kauno marias Kauno rajone netoli Arlaviškių gyvenvietės (paspaudus nuorodą atsidaro žemėlapis su nuleidimo vieta) </w:t>
      </w:r>
      <w:r>
        <w:rPr>
          <w:b/>
          <w:bCs/>
          <w:sz w:val="30"/>
          <w:szCs w:val="30"/>
        </w:rPr>
        <w:t>č</w:t>
      </w:r>
      <w:r>
        <w:fldChar w:fldCharType="begin"/>
      </w:r>
      <w:r>
        <w:instrText> HYPERLINK "http://maps.lt/map/default.aspx?lang=lt" \l "obj=514114;6075864;Pažymėtas taškas;&amp;xy=514167,6075797&amp;z=2000&amp;lrs=orthophoto,hybrid_overlay,vector_2_5d,stops,zebra"</w:instrText>
      </w:r>
      <w:r>
        <w:fldChar w:fldCharType="separate"/>
      </w:r>
      <w:r>
        <w:rPr>
          <w:rStyle w:val="Internetosaitas"/>
          <w:b/>
          <w:bCs/>
          <w:sz w:val="30"/>
          <w:szCs w:val="30"/>
        </w:rPr>
        <w:t>ia</w:t>
      </w:r>
      <w:r>
        <w:fldChar w:fldCharType="end"/>
      </w:r>
      <w:r>
        <w:rPr>
          <w:b/>
          <w:bCs/>
          <w:sz w:val="30"/>
          <w:szCs w:val="30"/>
        </w:rPr>
        <w:t xml:space="preserve">, </w:t>
      </w:r>
      <w:r>
        <w:rPr>
          <w:b w:val="false"/>
          <w:bCs w:val="false"/>
          <w:sz w:val="24"/>
          <w:szCs w:val="24"/>
        </w:rPr>
        <w:t xml:space="preserve">Kaišiadorių rajone Lašinių kaimo pakraštyje (paspaudus nuorodą atsidaro žemėlapis su nuleidimo vietaą) </w:t>
      </w:r>
      <w:r>
        <w:rPr>
          <w:b/>
          <w:bCs/>
          <w:sz w:val="30"/>
          <w:szCs w:val="30"/>
        </w:rPr>
        <w:t>č</w:t>
      </w:r>
      <w:r>
        <w:fldChar w:fldCharType="begin"/>
      </w:r>
      <w:r>
        <w:instrText> HYPERLINK "http://maps.lt/map/default.aspx?lang=lt" \l "obj=515510;6074176;Pažymėtas taškas;&amp;xy=515536,6074125&amp;z=2000&amp;lrs=orthophoto,hybrid_overlay,vector_2_5d,stops,zebra"</w:instrText>
      </w:r>
      <w:r>
        <w:fldChar w:fldCharType="separate"/>
      </w:r>
      <w:r>
        <w:rPr>
          <w:rStyle w:val="Internetosaitas"/>
          <w:b/>
          <w:bCs/>
          <w:sz w:val="30"/>
          <w:szCs w:val="30"/>
        </w:rPr>
        <w:t>ia</w:t>
      </w:r>
      <w:r>
        <w:fldChar w:fldCharType="end"/>
      </w:r>
      <w:r>
        <w:rPr>
          <w:b/>
          <w:bCs/>
          <w:sz w:val="30"/>
          <w:szCs w:val="30"/>
        </w:rPr>
        <w:t>.</w:t>
      </w:r>
    </w:p>
    <w:p>
      <w:pPr>
        <w:sectPr>
          <w:footerReference w:type="default" r:id="rId8"/>
          <w:type w:val="nextPage"/>
          <w:pgSz w:w="11906" w:h="16838"/>
          <w:pgMar w:left="1701" w:right="567" w:header="0" w:top="1134" w:footer="1134" w:bottom="2231" w:gutter="0"/>
          <w:pgNumType w:fmt="decimal"/>
          <w:formProt w:val="false"/>
          <w:textDirection w:val="lrTb"/>
          <w:docGrid w:type="default" w:linePitch="360" w:charSpace="4294961151"/>
        </w:sectPr>
        <w:pStyle w:val="Normal"/>
        <w:ind w:left="0" w:right="0" w:firstLine="680"/>
        <w:jc w:val="both"/>
        <w:rPr/>
      </w:pPr>
      <w:r>
        <w:rPr>
          <w:b w:val="false"/>
          <w:bCs w:val="false"/>
          <w:sz w:val="24"/>
          <w:szCs w:val="24"/>
        </w:rPr>
        <w:t>3.5. Darbų vykdytojas atsako už švaros plaikymą Paukščių salose.</w:t>
      </w:r>
    </w:p>
    <w:p>
      <w:pPr>
        <w:pStyle w:val="Normal"/>
        <w:shd w:val="clear" w:fill="FFFFFF"/>
        <w:jc w:val="right"/>
        <w:rPr/>
      </w:pPr>
      <w:r>
        <w:rPr>
          <w:rFonts w:cs="Times New Roman"/>
          <w:b w:val="false"/>
          <w:bCs w:val="false"/>
          <w:color w:val="000000"/>
          <w:sz w:val="24"/>
          <w:szCs w:val="24"/>
          <w:lang w:val="lt-LT"/>
        </w:rPr>
        <w:t>2 priedas</w:t>
      </w:r>
    </w:p>
    <w:p>
      <w:pPr>
        <w:pStyle w:val="Normal"/>
        <w:shd w:val="clear" w:fill="FFFFFF"/>
        <w:jc w:val="right"/>
        <w:rPr>
          <w:rFonts w:cs="Times New Roman"/>
          <w:b w:val="false"/>
          <w:b w:val="false"/>
          <w:bCs w:val="false"/>
          <w:color w:val="000000"/>
          <w:sz w:val="24"/>
          <w:szCs w:val="24"/>
          <w:lang w:val="lt-LT"/>
        </w:rPr>
      </w:pPr>
      <w:r>
        <w:rPr>
          <w:rFonts w:cs="Times New Roman"/>
          <w:b w:val="false"/>
          <w:bCs w:val="false"/>
          <w:color w:val="000000"/>
          <w:sz w:val="24"/>
          <w:szCs w:val="24"/>
          <w:lang w:val="lt-LT"/>
        </w:rPr>
        <w:drawing>
          <wp:anchor behindDoc="0" distT="0" distB="0" distL="0" distR="0" simplePos="0" locked="0" layoutInCell="1" allowOverlap="1" relativeHeight="3">
            <wp:simplePos x="0" y="0"/>
            <wp:positionH relativeFrom="column">
              <wp:posOffset>239395</wp:posOffset>
            </wp:positionH>
            <wp:positionV relativeFrom="paragraph">
              <wp:posOffset>86995</wp:posOffset>
            </wp:positionV>
            <wp:extent cx="5485130" cy="7755255"/>
            <wp:effectExtent l="0" t="0" r="0" b="0"/>
            <wp:wrapSquare wrapText="largest"/>
            <wp:docPr id="1" name="Paveikslas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as2" descr=""/>
                    <pic:cNvPicPr>
                      <a:picLocks noChangeAspect="1" noChangeArrowheads="1"/>
                    </pic:cNvPicPr>
                  </pic:nvPicPr>
                  <pic:blipFill>
                    <a:blip r:embed="rId9"/>
                    <a:stretch>
                      <a:fillRect/>
                    </a:stretch>
                  </pic:blipFill>
                  <pic:spPr bwMode="auto">
                    <a:xfrm>
                      <a:off x="0" y="0"/>
                      <a:ext cx="5485130" cy="7755255"/>
                    </a:xfrm>
                    <a:prstGeom prst="rect">
                      <a:avLst/>
                    </a:prstGeom>
                  </pic:spPr>
                </pic:pic>
              </a:graphicData>
            </a:graphic>
          </wp:anchor>
        </w:drawing>
      </w:r>
    </w:p>
    <w:p>
      <w:pPr>
        <w:pStyle w:val="Numatytasis"/>
        <w:numPr>
          <w:ilvl w:val="0"/>
          <w:numId w:val="0"/>
        </w:numPr>
        <w:ind w:left="0" w:hanging="0"/>
        <w:jc w:val="center"/>
        <w:rPr>
          <w:rFonts w:cs="Times New Roman"/>
        </w:rPr>
      </w:pPr>
      <w:r>
        <w:rPr>
          <w:rFonts w:cs="Times New Roman"/>
        </w:rPr>
      </w:r>
    </w:p>
    <w:p>
      <w:pPr>
        <w:pStyle w:val="Numatytasis"/>
        <w:numPr>
          <w:ilvl w:val="0"/>
          <w:numId w:val="0"/>
        </w:numPr>
        <w:ind w:left="0" w:hanging="0"/>
        <w:jc w:val="center"/>
        <w:rPr>
          <w:rFonts w:cs="Times New Roman"/>
        </w:rPr>
      </w:pPr>
      <w:r>
        <w:rPr>
          <w:rFonts w:cs="Times New Roman"/>
        </w:rPr>
      </w:r>
    </w:p>
    <w:p>
      <w:pPr>
        <w:pStyle w:val="Numatytasis"/>
        <w:numPr>
          <w:ilvl w:val="0"/>
          <w:numId w:val="0"/>
        </w:numPr>
        <w:ind w:left="0" w:hanging="0"/>
        <w:jc w:val="center"/>
        <w:rPr>
          <w:rFonts w:cs="Times New Roman"/>
        </w:rPr>
      </w:pPr>
      <w:r>
        <w:rPr>
          <w:rFonts w:cs="Times New Roman"/>
        </w:rPr>
      </w:r>
    </w:p>
    <w:p>
      <w:pPr>
        <w:pStyle w:val="Numatytasis"/>
        <w:numPr>
          <w:ilvl w:val="0"/>
          <w:numId w:val="0"/>
        </w:numPr>
        <w:ind w:left="0" w:hanging="0"/>
        <w:jc w:val="center"/>
        <w:rPr>
          <w:rFonts w:cs="Times New Roman"/>
        </w:rPr>
      </w:pPr>
      <w:r>
        <w:rPr>
          <w:rFonts w:cs="Times New Roman"/>
        </w:rPr>
      </w:r>
    </w:p>
    <w:p>
      <w:pPr>
        <w:pStyle w:val="Numatytasis"/>
        <w:numPr>
          <w:ilvl w:val="0"/>
          <w:numId w:val="0"/>
        </w:numPr>
        <w:ind w:left="0" w:hanging="0"/>
        <w:jc w:val="center"/>
        <w:rPr>
          <w:rFonts w:cs="Times New Roman"/>
        </w:rPr>
      </w:pPr>
      <w:r>
        <w:rPr>
          <w:rFonts w:cs="Times New Roman"/>
        </w:rPr>
      </w:r>
      <w:r>
        <w:br w:type="page"/>
      </w:r>
    </w:p>
    <w:p>
      <w:pPr>
        <w:pStyle w:val="Numatytasis"/>
        <w:numPr>
          <w:ilvl w:val="0"/>
          <w:numId w:val="0"/>
        </w:numPr>
        <w:ind w:left="0" w:hanging="0"/>
        <w:jc w:val="right"/>
        <w:rPr/>
      </w:pPr>
      <w:r>
        <w:rPr>
          <w:rFonts w:cs="Times New Roman"/>
        </w:rPr>
        <w:t>3 priedas</w:t>
      </w:r>
    </w:p>
    <w:p>
      <w:pPr>
        <w:pStyle w:val="Numatytasis"/>
        <w:numPr>
          <w:ilvl w:val="0"/>
          <w:numId w:val="0"/>
        </w:numPr>
        <w:ind w:left="0" w:hanging="0"/>
        <w:jc w:val="center"/>
        <w:rPr/>
      </w:pPr>
      <w:r>
        <w:rPr>
          <w:rFonts w:cs="Times New Roman"/>
        </w:rPr>
        <w:t>Herbas arba prekių ženklas</w:t>
      </w:r>
    </w:p>
    <w:p>
      <w:pPr>
        <w:pStyle w:val="Normal"/>
        <w:ind w:left="0" w:right="-178" w:hanging="0"/>
        <w:jc w:val="center"/>
        <w:rPr>
          <w:rFonts w:cs="Times New Roman"/>
          <w:sz w:val="24"/>
          <w:szCs w:val="24"/>
          <w:lang w:val="lt-LT"/>
        </w:rPr>
      </w:pPr>
      <w:r>
        <w:rPr>
          <w:rFonts w:cs="Times New Roman"/>
          <w:sz w:val="24"/>
          <w:szCs w:val="24"/>
          <w:lang w:val="lt-LT"/>
        </w:rPr>
      </w:r>
    </w:p>
    <w:p>
      <w:pPr>
        <w:pStyle w:val="Normal"/>
        <w:ind w:left="0" w:right="-178" w:hanging="0"/>
        <w:jc w:val="center"/>
        <w:rPr>
          <w:rFonts w:cs="Times New Roman"/>
          <w:sz w:val="24"/>
          <w:szCs w:val="24"/>
          <w:lang w:val="lt-LT"/>
        </w:rPr>
      </w:pPr>
      <w:r>
        <w:rPr>
          <w:rFonts w:cs="Times New Roman"/>
          <w:sz w:val="24"/>
          <w:szCs w:val="24"/>
          <w:lang w:val="lt-LT"/>
        </w:rPr>
        <w:t>(Tiekėjo pavadinimas)</w:t>
      </w:r>
    </w:p>
    <w:p>
      <w:pPr>
        <w:pStyle w:val="Normal"/>
        <w:ind w:left="0" w:right="-178" w:hanging="0"/>
        <w:jc w:val="both"/>
        <w:rPr>
          <w:rFonts w:cs="Times New Roman"/>
          <w:sz w:val="24"/>
          <w:szCs w:val="24"/>
          <w:lang w:val="lt-LT"/>
        </w:rPr>
      </w:pPr>
      <w:r>
        <w:rPr>
          <w:rFonts w:cs="Times New Roman"/>
          <w:sz w:val="24"/>
          <w:szCs w:val="24"/>
          <w:lang w:val="lt-LT"/>
        </w:rPr>
      </w:r>
    </w:p>
    <w:p>
      <w:pPr>
        <w:pStyle w:val="Normal"/>
        <w:ind w:left="0" w:right="-178" w:hanging="0"/>
        <w:jc w:val="both"/>
        <w:rPr>
          <w:rFonts w:cs="Times New Roman"/>
          <w:b/>
          <w:b/>
          <w:bCs/>
          <w:sz w:val="24"/>
          <w:szCs w:val="24"/>
          <w:lang w:val="lt-LT"/>
        </w:rPr>
      </w:pPr>
      <w:r>
        <w:rPr>
          <w:rFonts w:cs="Times New Roman"/>
          <w:sz w:val="24"/>
          <w:szCs w:val="24"/>
          <w:lang w:val="lt-LT"/>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pPr>
        <w:pStyle w:val="Normal"/>
        <w:ind w:left="0" w:right="-178" w:hanging="0"/>
        <w:jc w:val="both"/>
        <w:rPr>
          <w:rFonts w:cs="Times New Roman"/>
          <w:b/>
          <w:b/>
          <w:bCs/>
          <w:sz w:val="24"/>
          <w:szCs w:val="24"/>
          <w:lang w:val="lt-LT"/>
        </w:rPr>
      </w:pPr>
      <w:r>
        <w:rPr>
          <w:rFonts w:cs="Times New Roman"/>
          <w:b/>
          <w:bCs/>
          <w:sz w:val="24"/>
          <w:szCs w:val="24"/>
          <w:lang w:val="lt-LT"/>
        </w:rPr>
      </w:r>
    </w:p>
    <w:p>
      <w:pPr>
        <w:pStyle w:val="Normal"/>
        <w:jc w:val="both"/>
        <w:rPr>
          <w:rFonts w:cs="Times New Roman"/>
          <w:b/>
          <w:b/>
          <w:sz w:val="24"/>
          <w:szCs w:val="24"/>
          <w:lang w:val="lt-LT"/>
        </w:rPr>
      </w:pPr>
      <w:r>
        <w:rPr>
          <w:rFonts w:cs="Times New Roman"/>
          <w:sz w:val="24"/>
          <w:szCs w:val="24"/>
          <w:lang w:val="lt-LT"/>
        </w:rPr>
        <w:t>Kauno marių regioninio parko direkcijai</w:t>
      </w:r>
    </w:p>
    <w:p>
      <w:pPr>
        <w:pStyle w:val="Normal"/>
        <w:jc w:val="both"/>
        <w:rPr>
          <w:rFonts w:cs="Times New Roman"/>
          <w:b/>
          <w:b/>
          <w:sz w:val="24"/>
          <w:szCs w:val="24"/>
          <w:lang w:val="lt-LT"/>
        </w:rPr>
      </w:pPr>
      <w:r>
        <w:rPr>
          <w:rFonts w:cs="Times New Roman"/>
          <w:b/>
          <w:sz w:val="24"/>
          <w:szCs w:val="24"/>
          <w:lang w:val="lt-LT"/>
        </w:rPr>
      </w:r>
    </w:p>
    <w:p>
      <w:pPr>
        <w:pStyle w:val="Normal"/>
        <w:jc w:val="center"/>
        <w:rPr/>
      </w:pPr>
      <w:r>
        <w:rPr>
          <w:rFonts w:cs="Times New Roman"/>
          <w:b/>
          <w:sz w:val="24"/>
          <w:szCs w:val="24"/>
          <w:lang w:val="lt-LT"/>
        </w:rPr>
        <w:t>PASIŪLYMAS</w:t>
      </w:r>
    </w:p>
    <w:p>
      <w:pPr>
        <w:pStyle w:val="Normal"/>
        <w:jc w:val="center"/>
        <w:rPr/>
      </w:pPr>
      <w:r>
        <w:rPr>
          <w:rStyle w:val="Iskyrimas"/>
          <w:rFonts w:cs="Times New Roman"/>
          <w:b/>
          <w:bCs/>
          <w:i w:val="false"/>
          <w:caps/>
          <w:sz w:val="24"/>
          <w:szCs w:val="24"/>
          <w:lang w:val="lt-LT" w:bidi="ar-SA"/>
        </w:rPr>
        <w:t>„</w:t>
      </w:r>
      <w:r>
        <w:rPr>
          <w:rStyle w:val="Iskyrimas"/>
          <w:rFonts w:cs="Times New Roman"/>
          <w:b/>
          <w:bCs/>
          <w:i w:val="false"/>
          <w:caps/>
          <w:sz w:val="24"/>
          <w:szCs w:val="24"/>
          <w:lang w:val="lt-LT" w:bidi="ar-SA"/>
        </w:rPr>
        <w:t>Natura 2000“ teritorijos Kauno marių Arlaviškių ornitologinio draustinio (Paukščių sal</w:t>
      </w:r>
      <w:r>
        <w:rPr>
          <w:rStyle w:val="Iskyrimas"/>
          <w:rFonts w:cs="Times New Roman"/>
          <w:b/>
          <w:bCs/>
          <w:i w:val="false"/>
          <w:caps/>
          <w:sz w:val="24"/>
          <w:szCs w:val="24"/>
          <w:lang w:val="lt-LT" w:bidi="ar-SA"/>
        </w:rPr>
        <w:t>ų</w:t>
      </w:r>
      <w:r>
        <w:rPr>
          <w:rStyle w:val="Iskyrimas"/>
          <w:rFonts w:cs="Times New Roman"/>
          <w:b/>
          <w:bCs/>
          <w:i w:val="false"/>
          <w:caps/>
          <w:sz w:val="24"/>
          <w:szCs w:val="24"/>
          <w:lang w:val="lt-LT" w:bidi="ar-SA"/>
        </w:rPr>
        <w:t xml:space="preserve">) </w:t>
      </w:r>
      <w:r>
        <w:rPr>
          <w:rFonts w:cs="Times New Roman"/>
          <w:b/>
          <w:caps/>
          <w:sz w:val="24"/>
          <w:szCs w:val="24"/>
          <w:lang w:val="lt-LT"/>
        </w:rPr>
        <w:t xml:space="preserve"> TVARKYMO Paslaugų</w:t>
      </w:r>
      <w:r>
        <w:rPr>
          <w:rFonts w:cs="Times New Roman"/>
          <w:b/>
          <w:caps/>
          <w:spacing w:val="10"/>
          <w:sz w:val="24"/>
          <w:szCs w:val="24"/>
          <w:lang w:val="lt-LT"/>
        </w:rPr>
        <w:t xml:space="preserve"> pirkimo</w:t>
      </w:r>
    </w:p>
    <w:p>
      <w:pPr>
        <w:pStyle w:val="Normal"/>
        <w:shd w:val="clear" w:fill="FFFFFF"/>
        <w:jc w:val="center"/>
        <w:rPr>
          <w:rFonts w:cs="Times New Roman"/>
          <w:sz w:val="24"/>
          <w:szCs w:val="24"/>
          <w:lang w:val="lt-LT"/>
        </w:rPr>
      </w:pPr>
      <w:r>
        <w:rPr>
          <w:rFonts w:cs="Times New Roman"/>
          <w:sz w:val="24"/>
          <w:szCs w:val="24"/>
          <w:lang w:val="lt-LT"/>
        </w:rPr>
        <w:t>2016-    Nr.______</w:t>
      </w:r>
    </w:p>
    <w:p>
      <w:pPr>
        <w:pStyle w:val="Normal"/>
        <w:shd w:val="clear" w:fill="FFFFFF"/>
        <w:jc w:val="center"/>
        <w:rPr>
          <w:rFonts w:cs="Times New Roman"/>
          <w:bCs/>
          <w:color w:val="000000"/>
          <w:sz w:val="24"/>
          <w:szCs w:val="24"/>
          <w:lang w:val="lt-LT"/>
        </w:rPr>
      </w:pPr>
      <w:r>
        <w:rPr>
          <w:rFonts w:cs="Times New Roman"/>
          <w:bCs/>
          <w:color w:val="000000"/>
          <w:sz w:val="24"/>
          <w:szCs w:val="24"/>
          <w:lang w:val="lt-LT"/>
        </w:rPr>
        <w:t>(Data)</w:t>
      </w:r>
    </w:p>
    <w:p>
      <w:pPr>
        <w:pStyle w:val="Normal"/>
        <w:shd w:val="clear" w:fill="FFFFFF"/>
        <w:jc w:val="center"/>
        <w:rPr>
          <w:rFonts w:cs="Times New Roman"/>
          <w:bCs/>
          <w:color w:val="000000"/>
          <w:sz w:val="24"/>
          <w:szCs w:val="24"/>
          <w:lang w:val="lt-LT"/>
        </w:rPr>
      </w:pPr>
      <w:r>
        <w:rPr>
          <w:rFonts w:cs="Times New Roman"/>
          <w:bCs/>
          <w:color w:val="000000"/>
          <w:sz w:val="24"/>
          <w:szCs w:val="24"/>
          <w:lang w:val="lt-LT"/>
        </w:rPr>
        <w:t>_____________</w:t>
      </w:r>
    </w:p>
    <w:p>
      <w:pPr>
        <w:pStyle w:val="Normal"/>
        <w:shd w:val="clear" w:fill="FFFFFF"/>
        <w:jc w:val="center"/>
        <w:rPr>
          <w:rFonts w:cs="Times New Roman"/>
          <w:sz w:val="24"/>
          <w:szCs w:val="24"/>
          <w:lang w:val="lt-LT"/>
        </w:rPr>
      </w:pPr>
      <w:r>
        <w:rPr>
          <w:rFonts w:cs="Times New Roman"/>
          <w:bCs/>
          <w:color w:val="000000"/>
          <w:sz w:val="24"/>
          <w:szCs w:val="24"/>
          <w:lang w:val="lt-LT"/>
        </w:rPr>
        <w:t>(Sudarymo vieta)</w:t>
      </w:r>
    </w:p>
    <w:p>
      <w:pPr>
        <w:pStyle w:val="Normal"/>
        <w:jc w:val="center"/>
        <w:rPr>
          <w:rFonts w:cs="Times New Roman"/>
          <w:sz w:val="24"/>
          <w:szCs w:val="24"/>
          <w:lang w:val="lt-LT"/>
        </w:rPr>
      </w:pPr>
      <w:r>
        <w:rPr>
          <w:rFonts w:cs="Times New Roman"/>
          <w:sz w:val="24"/>
          <w:szCs w:val="24"/>
          <w:lang w:val="lt-LT"/>
        </w:rPr>
      </w:r>
    </w:p>
    <w:tbl>
      <w:tblPr>
        <w:tblW w:w="9920" w:type="dxa"/>
        <w:jc w:val="left"/>
        <w:tblInd w:w="-165" w:type="dxa"/>
        <w:tblBorders>
          <w:top w:val="single" w:sz="4" w:space="0" w:color="000001"/>
          <w:left w:val="single" w:sz="4" w:space="0" w:color="000001"/>
          <w:bottom w:val="single" w:sz="4" w:space="0" w:color="000001"/>
          <w:insideH w:val="single" w:sz="4" w:space="0" w:color="000001"/>
        </w:tblBorders>
        <w:tblCellMar>
          <w:top w:w="0" w:type="dxa"/>
          <w:left w:w="78" w:type="dxa"/>
          <w:bottom w:w="0" w:type="dxa"/>
          <w:right w:w="108" w:type="dxa"/>
        </w:tblCellMar>
      </w:tblPr>
      <w:tblGrid>
        <w:gridCol w:w="5044"/>
        <w:gridCol w:w="4875"/>
      </w:tblGrid>
      <w:tr>
        <w:trPr/>
        <w:tc>
          <w:tcPr>
            <w:tcW w:w="5044" w:type="dxa"/>
            <w:tcBorders>
              <w:top w:val="single" w:sz="4" w:space="0" w:color="000001"/>
              <w:left w:val="single" w:sz="4" w:space="0" w:color="000001"/>
              <w:bottom w:val="single" w:sz="4" w:space="0" w:color="000001"/>
              <w:insideH w:val="single" w:sz="4" w:space="0" w:color="000001"/>
            </w:tcBorders>
            <w:shd w:fill="auto" w:val="clear"/>
            <w:tcMar>
              <w:left w:w="78" w:type="dxa"/>
            </w:tcMar>
          </w:tcPr>
          <w:p>
            <w:pPr>
              <w:pStyle w:val="Normal"/>
              <w:jc w:val="both"/>
              <w:rPr>
                <w:rFonts w:cs="Times New Roman"/>
                <w:sz w:val="24"/>
                <w:szCs w:val="24"/>
                <w:lang w:val="lt-LT"/>
              </w:rPr>
            </w:pPr>
            <w:r>
              <w:rPr>
                <w:rFonts w:cs="Times New Roman"/>
                <w:sz w:val="24"/>
                <w:szCs w:val="24"/>
                <w:lang w:val="lt-LT"/>
              </w:rPr>
              <w:t>Tiekėjo pavadinimas</w:t>
            </w:r>
            <w:r>
              <w:rPr>
                <w:rFonts w:cs="Times New Roman"/>
                <w:i/>
                <w:sz w:val="24"/>
                <w:szCs w:val="24"/>
                <w:lang w:val="lt-LT"/>
              </w:rPr>
              <w:t>/Jeigu dalyvauja ūkio subjektų grupė, surašomi visi dalyvių pavadinimai/</w:t>
            </w:r>
          </w:p>
        </w:tc>
        <w:tc>
          <w:tcPr>
            <w:tcW w:w="48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78" w:type="dxa"/>
            </w:tcMar>
          </w:tcPr>
          <w:p>
            <w:pPr>
              <w:pStyle w:val="Normal"/>
              <w:snapToGrid w:val="false"/>
              <w:jc w:val="both"/>
              <w:rPr>
                <w:rFonts w:cs="Times New Roman"/>
                <w:sz w:val="24"/>
                <w:szCs w:val="24"/>
                <w:lang w:val="lt-LT"/>
              </w:rPr>
            </w:pPr>
            <w:r>
              <w:rPr>
                <w:rFonts w:cs="Times New Roman"/>
                <w:sz w:val="24"/>
                <w:szCs w:val="24"/>
                <w:lang w:val="lt-LT"/>
              </w:rPr>
            </w:r>
          </w:p>
          <w:p>
            <w:pPr>
              <w:pStyle w:val="Normal"/>
              <w:jc w:val="both"/>
              <w:rPr>
                <w:rFonts w:cs="Times New Roman"/>
                <w:sz w:val="24"/>
                <w:szCs w:val="24"/>
                <w:lang w:val="lt-LT"/>
              </w:rPr>
            </w:pPr>
            <w:r>
              <w:rPr>
                <w:rFonts w:cs="Times New Roman"/>
                <w:sz w:val="24"/>
                <w:szCs w:val="24"/>
                <w:lang w:val="lt-LT"/>
              </w:rPr>
            </w:r>
          </w:p>
        </w:tc>
      </w:tr>
      <w:tr>
        <w:trPr/>
        <w:tc>
          <w:tcPr>
            <w:tcW w:w="5044" w:type="dxa"/>
            <w:tcBorders>
              <w:top w:val="single" w:sz="4" w:space="0" w:color="000001"/>
              <w:left w:val="single" w:sz="4" w:space="0" w:color="000001"/>
              <w:bottom w:val="single" w:sz="4" w:space="0" w:color="000001"/>
              <w:insideH w:val="single" w:sz="4" w:space="0" w:color="000001"/>
            </w:tcBorders>
            <w:shd w:fill="auto" w:val="clear"/>
            <w:tcMar>
              <w:left w:w="78" w:type="dxa"/>
            </w:tcMar>
          </w:tcPr>
          <w:p>
            <w:pPr>
              <w:pStyle w:val="Normal"/>
              <w:jc w:val="both"/>
              <w:rPr>
                <w:rFonts w:cs="Times New Roman"/>
                <w:sz w:val="24"/>
                <w:szCs w:val="24"/>
                <w:lang w:val="lt-LT"/>
              </w:rPr>
            </w:pPr>
            <w:r>
              <w:rPr>
                <w:rFonts w:cs="Times New Roman"/>
                <w:sz w:val="24"/>
                <w:szCs w:val="24"/>
                <w:lang w:val="lt-LT"/>
              </w:rPr>
              <w:t>Tiekėjo adresas</w:t>
            </w:r>
            <w:r>
              <w:rPr>
                <w:rFonts w:cs="Times New Roman"/>
                <w:i/>
                <w:sz w:val="24"/>
                <w:szCs w:val="24"/>
                <w:lang w:val="lt-LT"/>
              </w:rPr>
              <w:t>/Jeigu dalyvauja ūkio subjektų grupė, surašomi visi dalyvių adresai/</w:t>
            </w:r>
          </w:p>
        </w:tc>
        <w:tc>
          <w:tcPr>
            <w:tcW w:w="48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78" w:type="dxa"/>
            </w:tcMar>
          </w:tcPr>
          <w:p>
            <w:pPr>
              <w:pStyle w:val="Normal"/>
              <w:snapToGrid w:val="false"/>
              <w:jc w:val="both"/>
              <w:rPr>
                <w:rFonts w:cs="Times New Roman"/>
                <w:sz w:val="24"/>
                <w:szCs w:val="24"/>
                <w:lang w:val="lt-LT"/>
              </w:rPr>
            </w:pPr>
            <w:r>
              <w:rPr>
                <w:rFonts w:cs="Times New Roman"/>
                <w:sz w:val="24"/>
                <w:szCs w:val="24"/>
                <w:lang w:val="lt-LT"/>
              </w:rPr>
            </w:r>
          </w:p>
          <w:p>
            <w:pPr>
              <w:pStyle w:val="Normal"/>
              <w:jc w:val="both"/>
              <w:rPr>
                <w:rFonts w:cs="Times New Roman"/>
                <w:sz w:val="24"/>
                <w:szCs w:val="24"/>
                <w:lang w:val="lt-LT"/>
              </w:rPr>
            </w:pPr>
            <w:r>
              <w:rPr>
                <w:rFonts w:cs="Times New Roman"/>
                <w:sz w:val="24"/>
                <w:szCs w:val="24"/>
                <w:lang w:val="lt-LT"/>
              </w:rPr>
            </w:r>
          </w:p>
        </w:tc>
      </w:tr>
      <w:tr>
        <w:trPr/>
        <w:tc>
          <w:tcPr>
            <w:tcW w:w="5044" w:type="dxa"/>
            <w:tcBorders>
              <w:top w:val="single" w:sz="4" w:space="0" w:color="000001"/>
              <w:left w:val="single" w:sz="4" w:space="0" w:color="000001"/>
              <w:bottom w:val="single" w:sz="4" w:space="0" w:color="000001"/>
              <w:insideH w:val="single" w:sz="4" w:space="0" w:color="000001"/>
            </w:tcBorders>
            <w:shd w:fill="auto" w:val="clear"/>
            <w:tcMar>
              <w:left w:w="78" w:type="dxa"/>
            </w:tcMar>
          </w:tcPr>
          <w:p>
            <w:pPr>
              <w:pStyle w:val="Normal"/>
              <w:jc w:val="both"/>
              <w:rPr>
                <w:rFonts w:cs="Times New Roman"/>
                <w:sz w:val="24"/>
                <w:szCs w:val="24"/>
                <w:lang w:val="lt-LT"/>
              </w:rPr>
            </w:pPr>
            <w:r>
              <w:rPr>
                <w:rFonts w:cs="Times New Roman"/>
                <w:sz w:val="24"/>
                <w:szCs w:val="24"/>
                <w:lang w:val="lt-LT"/>
              </w:rPr>
              <w:t>Už pasiūlymą atsakingo asmens vardas, pavardė</w:t>
            </w:r>
          </w:p>
        </w:tc>
        <w:tc>
          <w:tcPr>
            <w:tcW w:w="48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78" w:type="dxa"/>
            </w:tcMar>
          </w:tcPr>
          <w:p>
            <w:pPr>
              <w:pStyle w:val="Normal"/>
              <w:snapToGrid w:val="false"/>
              <w:jc w:val="both"/>
              <w:rPr>
                <w:rFonts w:cs="Times New Roman"/>
                <w:sz w:val="24"/>
                <w:szCs w:val="24"/>
                <w:lang w:val="lt-LT"/>
              </w:rPr>
            </w:pPr>
            <w:r>
              <w:rPr>
                <w:rFonts w:cs="Times New Roman"/>
                <w:sz w:val="24"/>
                <w:szCs w:val="24"/>
                <w:lang w:val="lt-LT"/>
              </w:rPr>
            </w:r>
          </w:p>
        </w:tc>
      </w:tr>
      <w:tr>
        <w:trPr/>
        <w:tc>
          <w:tcPr>
            <w:tcW w:w="5044" w:type="dxa"/>
            <w:tcBorders>
              <w:top w:val="single" w:sz="4" w:space="0" w:color="000001"/>
              <w:left w:val="single" w:sz="4" w:space="0" w:color="000001"/>
              <w:bottom w:val="single" w:sz="4" w:space="0" w:color="000001"/>
              <w:insideH w:val="single" w:sz="4" w:space="0" w:color="000001"/>
            </w:tcBorders>
            <w:shd w:fill="auto" w:val="clear"/>
            <w:tcMar>
              <w:left w:w="78" w:type="dxa"/>
            </w:tcMar>
          </w:tcPr>
          <w:p>
            <w:pPr>
              <w:pStyle w:val="Normal"/>
              <w:jc w:val="both"/>
              <w:rPr>
                <w:rFonts w:cs="Times New Roman"/>
                <w:sz w:val="24"/>
                <w:szCs w:val="24"/>
                <w:lang w:val="lt-LT"/>
              </w:rPr>
            </w:pPr>
            <w:r>
              <w:rPr>
                <w:rFonts w:cs="Times New Roman"/>
                <w:sz w:val="24"/>
                <w:szCs w:val="24"/>
                <w:lang w:val="lt-LT"/>
              </w:rPr>
              <w:t>Telefono numeris</w:t>
            </w:r>
          </w:p>
        </w:tc>
        <w:tc>
          <w:tcPr>
            <w:tcW w:w="48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78" w:type="dxa"/>
            </w:tcMar>
          </w:tcPr>
          <w:p>
            <w:pPr>
              <w:pStyle w:val="Normal"/>
              <w:snapToGrid w:val="false"/>
              <w:jc w:val="both"/>
              <w:rPr>
                <w:rFonts w:cs="Times New Roman"/>
                <w:sz w:val="24"/>
                <w:szCs w:val="24"/>
                <w:lang w:val="lt-LT"/>
              </w:rPr>
            </w:pPr>
            <w:r>
              <w:rPr>
                <w:rFonts w:cs="Times New Roman"/>
                <w:sz w:val="24"/>
                <w:szCs w:val="24"/>
                <w:lang w:val="lt-LT"/>
              </w:rPr>
            </w:r>
          </w:p>
        </w:tc>
      </w:tr>
      <w:tr>
        <w:trPr/>
        <w:tc>
          <w:tcPr>
            <w:tcW w:w="5044" w:type="dxa"/>
            <w:tcBorders>
              <w:top w:val="single" w:sz="4" w:space="0" w:color="000001"/>
              <w:left w:val="single" w:sz="4" w:space="0" w:color="000001"/>
              <w:bottom w:val="single" w:sz="4" w:space="0" w:color="000001"/>
              <w:insideH w:val="single" w:sz="4" w:space="0" w:color="000001"/>
            </w:tcBorders>
            <w:shd w:fill="auto" w:val="clear"/>
            <w:tcMar>
              <w:left w:w="78" w:type="dxa"/>
            </w:tcMar>
          </w:tcPr>
          <w:p>
            <w:pPr>
              <w:pStyle w:val="Normal"/>
              <w:jc w:val="both"/>
              <w:rPr>
                <w:rFonts w:cs="Times New Roman"/>
                <w:sz w:val="24"/>
                <w:szCs w:val="24"/>
                <w:lang w:val="lt-LT"/>
              </w:rPr>
            </w:pPr>
            <w:r>
              <w:rPr>
                <w:rFonts w:cs="Times New Roman"/>
                <w:sz w:val="24"/>
                <w:szCs w:val="24"/>
                <w:lang w:val="lt-LT"/>
              </w:rPr>
              <w:t>Fakso numeris</w:t>
            </w:r>
          </w:p>
        </w:tc>
        <w:tc>
          <w:tcPr>
            <w:tcW w:w="48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78" w:type="dxa"/>
            </w:tcMar>
          </w:tcPr>
          <w:p>
            <w:pPr>
              <w:pStyle w:val="Normal"/>
              <w:snapToGrid w:val="false"/>
              <w:jc w:val="both"/>
              <w:rPr>
                <w:rFonts w:cs="Times New Roman"/>
                <w:sz w:val="24"/>
                <w:szCs w:val="24"/>
                <w:lang w:val="lt-LT"/>
              </w:rPr>
            </w:pPr>
            <w:r>
              <w:rPr>
                <w:rFonts w:cs="Times New Roman"/>
                <w:sz w:val="24"/>
                <w:szCs w:val="24"/>
                <w:lang w:val="lt-LT"/>
              </w:rPr>
            </w:r>
          </w:p>
        </w:tc>
      </w:tr>
      <w:tr>
        <w:trPr/>
        <w:tc>
          <w:tcPr>
            <w:tcW w:w="5044" w:type="dxa"/>
            <w:tcBorders>
              <w:top w:val="single" w:sz="4" w:space="0" w:color="000001"/>
              <w:left w:val="single" w:sz="4" w:space="0" w:color="000001"/>
              <w:bottom w:val="single" w:sz="4" w:space="0" w:color="000001"/>
              <w:insideH w:val="single" w:sz="4" w:space="0" w:color="000001"/>
            </w:tcBorders>
            <w:shd w:fill="auto" w:val="clear"/>
            <w:tcMar>
              <w:left w:w="78" w:type="dxa"/>
            </w:tcMar>
          </w:tcPr>
          <w:p>
            <w:pPr>
              <w:pStyle w:val="Normal"/>
              <w:jc w:val="both"/>
              <w:rPr>
                <w:rFonts w:cs="Times New Roman"/>
                <w:sz w:val="24"/>
                <w:szCs w:val="24"/>
                <w:lang w:val="lt-LT"/>
              </w:rPr>
            </w:pPr>
            <w:r>
              <w:rPr>
                <w:rFonts w:cs="Times New Roman"/>
                <w:sz w:val="24"/>
                <w:szCs w:val="24"/>
                <w:lang w:val="lt-LT"/>
              </w:rPr>
              <w:t>El. pašto adresas</w:t>
            </w:r>
          </w:p>
        </w:tc>
        <w:tc>
          <w:tcPr>
            <w:tcW w:w="48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78" w:type="dxa"/>
            </w:tcMar>
          </w:tcPr>
          <w:p>
            <w:pPr>
              <w:pStyle w:val="Normal"/>
              <w:snapToGrid w:val="false"/>
              <w:jc w:val="both"/>
              <w:rPr>
                <w:rFonts w:cs="Times New Roman"/>
                <w:sz w:val="24"/>
                <w:szCs w:val="24"/>
                <w:lang w:val="lt-LT"/>
              </w:rPr>
            </w:pPr>
            <w:r>
              <w:rPr>
                <w:rFonts w:cs="Times New Roman"/>
                <w:sz w:val="24"/>
                <w:szCs w:val="24"/>
                <w:lang w:val="lt-LT"/>
              </w:rPr>
            </w:r>
          </w:p>
        </w:tc>
      </w:tr>
    </w:tbl>
    <w:p>
      <w:pPr>
        <w:pStyle w:val="Normal"/>
        <w:jc w:val="both"/>
        <w:rPr>
          <w:rFonts w:cs="Times New Roman"/>
          <w:sz w:val="24"/>
          <w:szCs w:val="24"/>
          <w:lang w:val="lt-LT"/>
        </w:rPr>
      </w:pPr>
      <w:r>
        <w:rPr>
          <w:rFonts w:cs="Times New Roman"/>
          <w:sz w:val="24"/>
          <w:szCs w:val="24"/>
          <w:lang w:val="lt-LT"/>
        </w:rPr>
      </w:r>
    </w:p>
    <w:p>
      <w:pPr>
        <w:pStyle w:val="Normal"/>
        <w:spacing w:lineRule="atLeast" w:line="100" w:before="0" w:after="0"/>
        <w:jc w:val="both"/>
        <w:rPr>
          <w:rFonts w:cs="Times New Roman"/>
          <w:spacing w:val="-4"/>
          <w:sz w:val="24"/>
          <w:szCs w:val="24"/>
          <w:lang w:val="lt-LT"/>
        </w:rPr>
      </w:pPr>
      <w:r>
        <w:rPr>
          <w:rFonts w:cs="Times New Roman"/>
          <w:i/>
          <w:spacing w:val="-4"/>
          <w:sz w:val="24"/>
          <w:szCs w:val="24"/>
          <w:lang w:val="lt-LT"/>
        </w:rPr>
        <w:t>/Pastaba. Pildoma, jei tiekėjas ketina pasitelkti subrangovą (-us), subtiekėją (-us)</w:t>
      </w:r>
      <w:r>
        <w:rPr>
          <w:rFonts w:cs="Times New Roman"/>
          <w:i/>
          <w:strike/>
          <w:spacing w:val="-4"/>
          <w:sz w:val="24"/>
          <w:szCs w:val="24"/>
          <w:lang w:val="lt-LT"/>
        </w:rPr>
        <w:t>,</w:t>
      </w:r>
      <w:r>
        <w:rPr>
          <w:rFonts w:cs="Times New Roman"/>
          <w:i/>
          <w:spacing w:val="-4"/>
          <w:sz w:val="24"/>
          <w:szCs w:val="24"/>
          <w:lang w:val="lt-LT"/>
        </w:rPr>
        <w:t xml:space="preserve"> ar subteikėją (-us)/</w:t>
      </w:r>
    </w:p>
    <w:tbl>
      <w:tblPr>
        <w:tblW w:w="10039" w:type="dxa"/>
        <w:jc w:val="left"/>
        <w:tblInd w:w="-220" w:type="dxa"/>
        <w:tblBorders>
          <w:top w:val="single" w:sz="4" w:space="0" w:color="000001"/>
          <w:left w:val="single" w:sz="4" w:space="0" w:color="000001"/>
          <w:bottom w:val="single" w:sz="4" w:space="0" w:color="000001"/>
          <w:insideH w:val="single" w:sz="4" w:space="0" w:color="000001"/>
        </w:tblBorders>
        <w:tblCellMar>
          <w:top w:w="0" w:type="dxa"/>
          <w:left w:w="78" w:type="dxa"/>
          <w:bottom w:w="0" w:type="dxa"/>
          <w:right w:w="108" w:type="dxa"/>
        </w:tblCellMar>
      </w:tblPr>
      <w:tblGrid>
        <w:gridCol w:w="6919"/>
        <w:gridCol w:w="3119"/>
      </w:tblGrid>
      <w:tr>
        <w:trPr/>
        <w:tc>
          <w:tcPr>
            <w:tcW w:w="6919" w:type="dxa"/>
            <w:tcBorders>
              <w:top w:val="single" w:sz="4" w:space="0" w:color="000001"/>
              <w:left w:val="single" w:sz="4" w:space="0" w:color="000001"/>
              <w:bottom w:val="single" w:sz="4" w:space="0" w:color="000001"/>
              <w:insideH w:val="single" w:sz="4" w:space="0" w:color="000001"/>
            </w:tcBorders>
            <w:shd w:fill="auto" w:val="clear"/>
            <w:tcMar>
              <w:left w:w="78" w:type="dxa"/>
            </w:tcMar>
          </w:tcPr>
          <w:p>
            <w:pPr>
              <w:pStyle w:val="Normal"/>
              <w:spacing w:lineRule="atLeast" w:line="100" w:before="0" w:after="0"/>
              <w:jc w:val="left"/>
              <w:rPr>
                <w:rFonts w:cs="Times New Roman"/>
                <w:sz w:val="24"/>
                <w:szCs w:val="24"/>
                <w:lang w:val="lt-LT"/>
              </w:rPr>
            </w:pPr>
            <w:r>
              <w:rPr>
                <w:rFonts w:cs="Times New Roman"/>
                <w:spacing w:val="-4"/>
                <w:sz w:val="24"/>
                <w:szCs w:val="24"/>
                <w:lang w:val="lt-LT"/>
              </w:rPr>
              <w:t>Subrangovo (-ų), subtiekėjo (-ų) ar subteikėjo  (</w:t>
              <w:noBreakHyphen/>
              <w:t>ų)</w:t>
            </w:r>
            <w:r>
              <w:rPr>
                <w:rFonts w:cs="Times New Roman"/>
                <w:sz w:val="24"/>
                <w:szCs w:val="24"/>
                <w:lang w:val="lt-LT"/>
              </w:rPr>
              <w:t xml:space="preserve"> pavadinimas (-ai) </w:t>
            </w:r>
          </w:p>
        </w:tc>
        <w:tc>
          <w:tcPr>
            <w:tcW w:w="31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78" w:type="dxa"/>
            </w:tcMar>
          </w:tcPr>
          <w:p>
            <w:pPr>
              <w:pStyle w:val="Normal"/>
              <w:snapToGrid w:val="false"/>
              <w:spacing w:lineRule="atLeast" w:line="100" w:before="0" w:after="0"/>
              <w:jc w:val="center"/>
              <w:rPr>
                <w:rFonts w:cs="Times New Roman"/>
                <w:sz w:val="24"/>
                <w:szCs w:val="24"/>
                <w:lang w:val="lt-LT"/>
              </w:rPr>
            </w:pPr>
            <w:r>
              <w:rPr>
                <w:rFonts w:cs="Times New Roman"/>
                <w:sz w:val="24"/>
                <w:szCs w:val="24"/>
                <w:lang w:val="lt-LT"/>
              </w:rPr>
            </w:r>
          </w:p>
        </w:tc>
      </w:tr>
      <w:tr>
        <w:trPr/>
        <w:tc>
          <w:tcPr>
            <w:tcW w:w="6919" w:type="dxa"/>
            <w:tcBorders>
              <w:top w:val="single" w:sz="4" w:space="0" w:color="000001"/>
              <w:left w:val="single" w:sz="4" w:space="0" w:color="000001"/>
              <w:bottom w:val="single" w:sz="4" w:space="0" w:color="000001"/>
              <w:insideH w:val="single" w:sz="4" w:space="0" w:color="000001"/>
            </w:tcBorders>
            <w:shd w:fill="auto" w:val="clear"/>
            <w:tcMar>
              <w:left w:w="78" w:type="dxa"/>
            </w:tcMar>
          </w:tcPr>
          <w:p>
            <w:pPr>
              <w:pStyle w:val="Normal"/>
              <w:spacing w:lineRule="atLeast" w:line="100" w:before="0" w:after="0"/>
              <w:jc w:val="left"/>
              <w:rPr>
                <w:rFonts w:cs="Times New Roman"/>
                <w:sz w:val="24"/>
                <w:szCs w:val="24"/>
                <w:lang w:val="lt-LT"/>
              </w:rPr>
            </w:pPr>
            <w:r>
              <w:rPr>
                <w:rFonts w:cs="Times New Roman"/>
                <w:spacing w:val="-4"/>
                <w:sz w:val="24"/>
                <w:szCs w:val="24"/>
                <w:lang w:val="lt-LT"/>
              </w:rPr>
              <w:t>Subrangovo (-ų), subtiekėjo (-ų) ar subteikėjo  (</w:t>
              <w:noBreakHyphen/>
              <w:t>ų)</w:t>
            </w:r>
            <w:r>
              <w:rPr>
                <w:rFonts w:cs="Times New Roman"/>
                <w:sz w:val="24"/>
                <w:szCs w:val="24"/>
                <w:lang w:val="lt-LT"/>
              </w:rPr>
              <w:t xml:space="preserve"> adresas (-ai) </w:t>
            </w:r>
          </w:p>
        </w:tc>
        <w:tc>
          <w:tcPr>
            <w:tcW w:w="31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78" w:type="dxa"/>
            </w:tcMar>
          </w:tcPr>
          <w:p>
            <w:pPr>
              <w:pStyle w:val="Normal"/>
              <w:snapToGrid w:val="false"/>
              <w:spacing w:lineRule="atLeast" w:line="100" w:before="0" w:after="0"/>
              <w:jc w:val="center"/>
              <w:rPr>
                <w:rFonts w:cs="Times New Roman"/>
                <w:sz w:val="24"/>
                <w:szCs w:val="24"/>
                <w:lang w:val="lt-LT"/>
              </w:rPr>
            </w:pPr>
            <w:r>
              <w:rPr>
                <w:rFonts w:cs="Times New Roman"/>
                <w:sz w:val="24"/>
                <w:szCs w:val="24"/>
                <w:lang w:val="lt-LT"/>
              </w:rPr>
            </w:r>
          </w:p>
        </w:tc>
      </w:tr>
      <w:tr>
        <w:trPr/>
        <w:tc>
          <w:tcPr>
            <w:tcW w:w="6919" w:type="dxa"/>
            <w:tcBorders>
              <w:top w:val="single" w:sz="4" w:space="0" w:color="000001"/>
              <w:left w:val="single" w:sz="4" w:space="0" w:color="000001"/>
              <w:bottom w:val="single" w:sz="4" w:space="0" w:color="000001"/>
              <w:insideH w:val="single" w:sz="4" w:space="0" w:color="000001"/>
            </w:tcBorders>
            <w:shd w:fill="auto" w:val="clear"/>
            <w:tcMar>
              <w:left w:w="78" w:type="dxa"/>
            </w:tcMar>
          </w:tcPr>
          <w:p>
            <w:pPr>
              <w:pStyle w:val="Normal"/>
              <w:spacing w:lineRule="atLeast" w:line="100" w:before="0" w:after="0"/>
              <w:jc w:val="left"/>
              <w:rPr>
                <w:rFonts w:cs="Times New Roman"/>
                <w:sz w:val="24"/>
                <w:szCs w:val="24"/>
                <w:lang w:val="lt-LT"/>
              </w:rPr>
            </w:pPr>
            <w:r>
              <w:rPr>
                <w:rFonts w:cs="Times New Roman"/>
                <w:sz w:val="24"/>
                <w:szCs w:val="24"/>
                <w:lang w:val="lt-LT"/>
              </w:rPr>
              <w:t>Įsipareigojimų dalis (procentais), kuriai ketinama pasitelkti subrangovą (-us), subtiekėją (-us) ar subteikėją (-us)</w:t>
            </w:r>
          </w:p>
        </w:tc>
        <w:tc>
          <w:tcPr>
            <w:tcW w:w="31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78" w:type="dxa"/>
            </w:tcMar>
          </w:tcPr>
          <w:p>
            <w:pPr>
              <w:pStyle w:val="Normal"/>
              <w:snapToGrid w:val="false"/>
              <w:spacing w:lineRule="atLeast" w:line="100" w:before="0" w:after="0"/>
              <w:jc w:val="center"/>
              <w:rPr>
                <w:rFonts w:cs="Times New Roman"/>
                <w:sz w:val="24"/>
                <w:szCs w:val="24"/>
                <w:lang w:val="lt-LT"/>
              </w:rPr>
            </w:pPr>
            <w:r>
              <w:rPr>
                <w:rFonts w:cs="Times New Roman"/>
                <w:sz w:val="24"/>
                <w:szCs w:val="24"/>
                <w:lang w:val="lt-LT"/>
              </w:rPr>
            </w:r>
          </w:p>
        </w:tc>
      </w:tr>
    </w:tbl>
    <w:p>
      <w:pPr>
        <w:pStyle w:val="Normal"/>
        <w:spacing w:lineRule="atLeast" w:line="100" w:before="0" w:after="0"/>
        <w:jc w:val="both"/>
        <w:rPr>
          <w:rFonts w:cs="Times New Roman"/>
          <w:sz w:val="10"/>
          <w:szCs w:val="10"/>
          <w:lang w:val="lt-LT"/>
        </w:rPr>
      </w:pPr>
      <w:r>
        <w:rPr>
          <w:rFonts w:cs="Times New Roman"/>
          <w:sz w:val="10"/>
          <w:szCs w:val="10"/>
          <w:lang w:val="lt-LT"/>
        </w:rPr>
      </w:r>
    </w:p>
    <w:p>
      <w:pPr>
        <w:pStyle w:val="Normal"/>
        <w:numPr>
          <w:ilvl w:val="0"/>
          <w:numId w:val="3"/>
        </w:numPr>
        <w:jc w:val="both"/>
        <w:rPr/>
      </w:pPr>
      <w:r>
        <w:rPr>
          <w:rFonts w:cs="Times New Roman"/>
          <w:sz w:val="24"/>
          <w:szCs w:val="24"/>
          <w:lang w:val="lt-LT"/>
        </w:rPr>
        <w:t xml:space="preserve">Šiuo pasiūlymu pažymime, kad sutinkame su visomis pirkimo sąlygomis, nustatytomis supaprastinto mažos vertės pirkimo apklausos būdu, </w:t>
      </w:r>
      <w:r>
        <w:rPr>
          <w:rFonts w:cs="Times New Roman"/>
          <w:sz w:val="24"/>
          <w:szCs w:val="24"/>
          <w:lang w:val="lt-LT" w:eastAsia="lt-LT"/>
        </w:rPr>
        <w:t xml:space="preserve">paskelbtose CVP IS interneto adresu </w:t>
      </w:r>
      <w:hyperlink r:id="rId10">
        <w:r>
          <w:rPr>
            <w:rStyle w:val="Internetosaitas"/>
            <w:rFonts w:cs="Times New Roman"/>
            <w:color w:val="000000"/>
            <w:sz w:val="24"/>
            <w:szCs w:val="24"/>
            <w:lang w:val="lt-LT" w:eastAsia="lt-LT"/>
          </w:rPr>
          <w:t>https://pirkimai.eviesiejipirkimai.lt</w:t>
        </w:r>
      </w:hyperlink>
      <w:r>
        <w:rPr>
          <w:rFonts w:cs="Times New Roman"/>
          <w:sz w:val="24"/>
          <w:szCs w:val="24"/>
          <w:lang w:val="lt-LT" w:eastAsia="lt-LT"/>
        </w:rPr>
        <w:t>.</w:t>
      </w:r>
    </w:p>
    <w:p>
      <w:pPr>
        <w:pStyle w:val="Normal"/>
        <w:numPr>
          <w:ilvl w:val="0"/>
          <w:numId w:val="3"/>
        </w:numPr>
        <w:jc w:val="both"/>
        <w:rPr>
          <w:rFonts w:cs="Times New Roman"/>
          <w:sz w:val="24"/>
          <w:szCs w:val="24"/>
          <w:lang w:val="lt-LT"/>
        </w:rPr>
      </w:pPr>
      <w:r>
        <w:rPr>
          <w:rFonts w:cs="Times New Roman"/>
          <w:sz w:val="24"/>
          <w:szCs w:val="24"/>
          <w:lang w:val="lt-LT"/>
        </w:rPr>
        <w:t xml:space="preserve">Siūlomos paslaugos visiškai atitinka pirkimo dokumentuose nurodytus reikalavimus. </w:t>
      </w:r>
    </w:p>
    <w:p>
      <w:pPr>
        <w:pStyle w:val="Normal"/>
        <w:numPr>
          <w:ilvl w:val="0"/>
          <w:numId w:val="3"/>
        </w:numPr>
        <w:jc w:val="both"/>
        <w:rPr/>
      </w:pPr>
      <w:r>
        <w:rPr>
          <w:rFonts w:cs="Times New Roman"/>
          <w:sz w:val="24"/>
          <w:szCs w:val="24"/>
          <w:lang w:val="lt-LT"/>
        </w:rPr>
        <w:t>Mes siūlome šias paslaugas:</w:t>
      </w:r>
    </w:p>
    <w:tbl>
      <w:tblPr>
        <w:tblW w:w="9788" w:type="dxa"/>
        <w:jc w:val="center"/>
        <w:tblInd w:w="0" w:type="dxa"/>
        <w:tblBorders>
          <w:top w:val="single" w:sz="4" w:space="0" w:color="000001"/>
          <w:left w:val="single" w:sz="4" w:space="0" w:color="000001"/>
          <w:bottom w:val="single" w:sz="4" w:space="0" w:color="000001"/>
          <w:insideH w:val="single" w:sz="4" w:space="0" w:color="000001"/>
        </w:tblBorders>
        <w:tblCellMar>
          <w:top w:w="0" w:type="dxa"/>
          <w:left w:w="78" w:type="dxa"/>
          <w:bottom w:w="0" w:type="dxa"/>
          <w:right w:w="108" w:type="dxa"/>
        </w:tblCellMar>
      </w:tblPr>
      <w:tblGrid>
        <w:gridCol w:w="568"/>
        <w:gridCol w:w="3969"/>
        <w:gridCol w:w="1464"/>
        <w:gridCol w:w="1297"/>
        <w:gridCol w:w="2"/>
        <w:gridCol w:w="2488"/>
      </w:tblGrid>
      <w:tr>
        <w:trPr/>
        <w:tc>
          <w:tcPr>
            <w:tcW w:w="568" w:type="dxa"/>
            <w:tcBorders>
              <w:top w:val="single" w:sz="4" w:space="0" w:color="000001"/>
              <w:left w:val="single" w:sz="4" w:space="0" w:color="000001"/>
              <w:bottom w:val="single" w:sz="4" w:space="0" w:color="000001"/>
              <w:insideH w:val="single" w:sz="4" w:space="0" w:color="000001"/>
            </w:tcBorders>
            <w:shd w:fill="auto" w:val="clear"/>
            <w:tcMar>
              <w:left w:w="78" w:type="dxa"/>
            </w:tcMar>
            <w:vAlign w:val="center"/>
          </w:tcPr>
          <w:p>
            <w:pPr>
              <w:pStyle w:val="Normal"/>
              <w:jc w:val="center"/>
              <w:rPr>
                <w:rFonts w:cs="Times New Roman"/>
                <w:b/>
                <w:b/>
                <w:sz w:val="24"/>
                <w:szCs w:val="24"/>
                <w:lang w:val="lt-LT"/>
              </w:rPr>
            </w:pPr>
            <w:r>
              <w:rPr>
                <w:rFonts w:cs="Times New Roman"/>
                <w:b/>
                <w:sz w:val="24"/>
                <w:szCs w:val="24"/>
                <w:lang w:val="lt-LT"/>
              </w:rPr>
              <w:t>Eil. Nr.</w:t>
            </w:r>
          </w:p>
        </w:tc>
        <w:tc>
          <w:tcPr>
            <w:tcW w:w="3969" w:type="dxa"/>
            <w:tcBorders>
              <w:top w:val="single" w:sz="4" w:space="0" w:color="000001"/>
              <w:left w:val="single" w:sz="4" w:space="0" w:color="000001"/>
              <w:bottom w:val="single" w:sz="4" w:space="0" w:color="000001"/>
              <w:insideH w:val="single" w:sz="4" w:space="0" w:color="000001"/>
            </w:tcBorders>
            <w:shd w:fill="auto" w:val="clear"/>
            <w:tcMar>
              <w:left w:w="78" w:type="dxa"/>
            </w:tcMar>
            <w:vAlign w:val="center"/>
          </w:tcPr>
          <w:p>
            <w:pPr>
              <w:pStyle w:val="Normal"/>
              <w:jc w:val="center"/>
              <w:rPr>
                <w:rFonts w:cs="Times New Roman"/>
                <w:b/>
                <w:b/>
                <w:sz w:val="24"/>
                <w:szCs w:val="24"/>
                <w:lang w:val="lt-LT"/>
              </w:rPr>
            </w:pPr>
            <w:r>
              <w:rPr>
                <w:rFonts w:cs="Times New Roman"/>
                <w:b/>
                <w:sz w:val="24"/>
                <w:szCs w:val="24"/>
                <w:lang w:val="lt-LT"/>
              </w:rPr>
              <w:t>Darbų pavadinimas</w:t>
            </w:r>
          </w:p>
        </w:tc>
        <w:tc>
          <w:tcPr>
            <w:tcW w:w="1464" w:type="dxa"/>
            <w:tcBorders>
              <w:top w:val="single" w:sz="4" w:space="0" w:color="000001"/>
              <w:left w:val="single" w:sz="4" w:space="0" w:color="000001"/>
              <w:bottom w:val="single" w:sz="4" w:space="0" w:color="000001"/>
              <w:insideH w:val="single" w:sz="4" w:space="0" w:color="000001"/>
            </w:tcBorders>
            <w:shd w:fill="auto" w:val="clear"/>
            <w:tcMar>
              <w:left w:w="78" w:type="dxa"/>
            </w:tcMar>
            <w:vAlign w:val="center"/>
          </w:tcPr>
          <w:p>
            <w:pPr>
              <w:pStyle w:val="Normal"/>
              <w:jc w:val="center"/>
              <w:rPr>
                <w:rFonts w:cs="Times New Roman"/>
                <w:b/>
                <w:b/>
                <w:sz w:val="24"/>
                <w:szCs w:val="24"/>
                <w:lang w:val="lt-LT"/>
              </w:rPr>
            </w:pPr>
            <w:r>
              <w:rPr>
                <w:rFonts w:cs="Times New Roman"/>
                <w:b/>
                <w:sz w:val="24"/>
                <w:szCs w:val="24"/>
                <w:lang w:val="lt-LT"/>
              </w:rPr>
              <w:t xml:space="preserve">Kaina </w:t>
            </w:r>
            <w:bookmarkStart w:id="3" w:name="__DdeLink__6937_317617373"/>
            <w:r>
              <w:rPr>
                <w:rFonts w:cs="Times New Roman"/>
                <w:b/>
                <w:sz w:val="24"/>
                <w:szCs w:val="24"/>
                <w:lang w:val="lt-LT"/>
              </w:rPr>
              <w:t>Eur</w:t>
            </w:r>
            <w:bookmarkEnd w:id="3"/>
            <w:r>
              <w:rPr>
                <w:rFonts w:cs="Times New Roman"/>
                <w:b/>
                <w:sz w:val="24"/>
                <w:szCs w:val="24"/>
                <w:lang w:val="lt-LT"/>
              </w:rPr>
              <w:t xml:space="preserve"> be PVM</w:t>
            </w:r>
          </w:p>
        </w:tc>
        <w:tc>
          <w:tcPr>
            <w:tcW w:w="1297" w:type="dxa"/>
            <w:tcBorders>
              <w:top w:val="single" w:sz="4" w:space="0" w:color="000001"/>
              <w:left w:val="single" w:sz="4" w:space="0" w:color="000001"/>
              <w:bottom w:val="single" w:sz="4" w:space="0" w:color="000001"/>
              <w:insideH w:val="single" w:sz="4" w:space="0" w:color="000001"/>
            </w:tcBorders>
            <w:shd w:fill="auto" w:val="clear"/>
            <w:tcMar>
              <w:left w:w="78" w:type="dxa"/>
            </w:tcMar>
            <w:vAlign w:val="center"/>
          </w:tcPr>
          <w:p>
            <w:pPr>
              <w:pStyle w:val="Normal"/>
              <w:jc w:val="center"/>
              <w:rPr>
                <w:rFonts w:cs="Times New Roman"/>
                <w:b/>
                <w:b/>
                <w:sz w:val="24"/>
                <w:szCs w:val="24"/>
                <w:lang w:val="lt-LT"/>
              </w:rPr>
            </w:pPr>
            <w:r>
              <w:rPr>
                <w:rFonts w:cs="Times New Roman"/>
                <w:b/>
                <w:sz w:val="24"/>
                <w:szCs w:val="24"/>
                <w:lang w:val="lt-LT"/>
              </w:rPr>
              <w:t>PVM</w:t>
            </w:r>
          </w:p>
        </w:tc>
        <w:tc>
          <w:tcPr>
            <w:tcW w:w="249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78" w:type="dxa"/>
            </w:tcMar>
            <w:vAlign w:val="center"/>
          </w:tcPr>
          <w:p>
            <w:pPr>
              <w:pStyle w:val="Normal"/>
              <w:jc w:val="center"/>
              <w:rPr>
                <w:rFonts w:cs="Times New Roman"/>
                <w:b/>
                <w:b/>
                <w:sz w:val="24"/>
                <w:szCs w:val="24"/>
                <w:lang w:val="lt-LT"/>
              </w:rPr>
            </w:pPr>
            <w:r>
              <w:rPr>
                <w:rFonts w:cs="Times New Roman"/>
                <w:b/>
                <w:sz w:val="24"/>
                <w:szCs w:val="24"/>
                <w:lang w:val="lt-LT"/>
              </w:rPr>
              <w:t>Kaina Eur su PVM</w:t>
            </w:r>
          </w:p>
        </w:tc>
      </w:tr>
      <w:tr>
        <w:trPr/>
        <w:tc>
          <w:tcPr>
            <w:tcW w:w="568" w:type="dxa"/>
            <w:tcBorders>
              <w:top w:val="single" w:sz="4" w:space="0" w:color="000001"/>
              <w:left w:val="single" w:sz="4" w:space="0" w:color="000001"/>
              <w:bottom w:val="single" w:sz="4" w:space="0" w:color="000001"/>
              <w:insideH w:val="single" w:sz="4" w:space="0" w:color="000001"/>
            </w:tcBorders>
            <w:shd w:fill="auto" w:val="clear"/>
            <w:tcMar>
              <w:left w:w="78" w:type="dxa"/>
            </w:tcMar>
            <w:vAlign w:val="center"/>
          </w:tcPr>
          <w:p>
            <w:pPr>
              <w:pStyle w:val="Normal"/>
              <w:jc w:val="both"/>
              <w:rPr>
                <w:rStyle w:val="Iskyrimas"/>
                <w:rFonts w:eastAsia="Times New Roman" w:cs="Times New Roman"/>
                <w:b w:val="false"/>
                <w:b w:val="false"/>
                <w:bCs w:val="false"/>
                <w:i w:val="false"/>
                <w:i w:val="false"/>
                <w:sz w:val="24"/>
                <w:szCs w:val="24"/>
                <w:lang w:val="lt-LT" w:bidi="ar-SA"/>
              </w:rPr>
            </w:pPr>
            <w:r>
              <w:rPr>
                <w:rFonts w:cs="Times New Roman"/>
                <w:sz w:val="24"/>
                <w:szCs w:val="24"/>
                <w:lang w:val="lt-LT"/>
              </w:rPr>
              <w:t>1.</w:t>
            </w:r>
          </w:p>
        </w:tc>
        <w:tc>
          <w:tcPr>
            <w:tcW w:w="3969" w:type="dxa"/>
            <w:tcBorders>
              <w:top w:val="single" w:sz="4" w:space="0" w:color="000001"/>
              <w:left w:val="single" w:sz="4" w:space="0" w:color="000001"/>
              <w:bottom w:val="single" w:sz="4" w:space="0" w:color="000001"/>
              <w:insideH w:val="single" w:sz="4" w:space="0" w:color="000001"/>
            </w:tcBorders>
            <w:shd w:fill="auto" w:val="clear"/>
            <w:tcMar>
              <w:left w:w="78" w:type="dxa"/>
            </w:tcMar>
            <w:vAlign w:val="center"/>
          </w:tcPr>
          <w:p>
            <w:pPr>
              <w:pStyle w:val="Bodytext1"/>
              <w:jc w:val="left"/>
              <w:rPr>
                <w:rFonts w:ascii="Times New Roman" w:hAnsi="Times New Roman"/>
                <w:sz w:val="28"/>
                <w:szCs w:val="28"/>
              </w:rPr>
            </w:pPr>
            <w:r>
              <w:rPr>
                <w:rFonts w:ascii="Times New Roman" w:hAnsi="Times New Roman"/>
                <w:sz w:val="28"/>
                <w:szCs w:val="28"/>
                <w:lang w:val="lt-LT" w:bidi="ar-SA"/>
              </w:rPr>
              <w:t>„</w:t>
            </w:r>
            <w:r>
              <w:rPr>
                <w:rFonts w:ascii="Times New Roman" w:hAnsi="Times New Roman"/>
                <w:sz w:val="28"/>
                <w:szCs w:val="28"/>
                <w:lang w:val="lt-LT" w:bidi="ar-SA"/>
              </w:rPr>
              <w:t>NATURA 2000“ Kauno marių Arlaviškių ornitologinio draustinio (Paukščių salų) tvarkymo paslaugos.</w:t>
            </w:r>
          </w:p>
        </w:tc>
        <w:tc>
          <w:tcPr>
            <w:tcW w:w="1464" w:type="dxa"/>
            <w:tcBorders>
              <w:top w:val="single" w:sz="4" w:space="0" w:color="000001"/>
              <w:left w:val="single" w:sz="4" w:space="0" w:color="000001"/>
              <w:bottom w:val="single" w:sz="4" w:space="0" w:color="000001"/>
              <w:insideH w:val="single" w:sz="4" w:space="0" w:color="000001"/>
            </w:tcBorders>
            <w:shd w:fill="auto" w:val="clear"/>
            <w:tcMar>
              <w:left w:w="78" w:type="dxa"/>
            </w:tcMar>
            <w:vAlign w:val="center"/>
          </w:tcPr>
          <w:p>
            <w:pPr>
              <w:pStyle w:val="Normal"/>
              <w:snapToGrid w:val="false"/>
              <w:jc w:val="both"/>
              <w:rPr>
                <w:rFonts w:cs="Times New Roman"/>
                <w:sz w:val="24"/>
                <w:szCs w:val="24"/>
                <w:u w:val="none"/>
                <w:lang w:val="lt-LT"/>
              </w:rPr>
            </w:pPr>
            <w:r>
              <w:rPr>
                <w:rFonts w:cs="Times New Roman"/>
                <w:sz w:val="24"/>
                <w:szCs w:val="24"/>
                <w:u w:val="none"/>
                <w:lang w:val="lt-LT"/>
              </w:rPr>
            </w:r>
          </w:p>
        </w:tc>
        <w:tc>
          <w:tcPr>
            <w:tcW w:w="1297" w:type="dxa"/>
            <w:tcBorders>
              <w:top w:val="single" w:sz="4" w:space="0" w:color="000001"/>
              <w:left w:val="single" w:sz="4" w:space="0" w:color="000001"/>
              <w:bottom w:val="single" w:sz="4" w:space="0" w:color="000001"/>
              <w:insideH w:val="single" w:sz="4" w:space="0" w:color="000001"/>
            </w:tcBorders>
            <w:shd w:fill="auto" w:val="clear"/>
            <w:tcMar>
              <w:left w:w="78" w:type="dxa"/>
            </w:tcMar>
          </w:tcPr>
          <w:p>
            <w:pPr>
              <w:pStyle w:val="Normal"/>
              <w:snapToGrid w:val="false"/>
              <w:jc w:val="both"/>
              <w:rPr>
                <w:rFonts w:cs="Times New Roman"/>
                <w:sz w:val="24"/>
                <w:szCs w:val="24"/>
                <w:u w:val="none"/>
                <w:lang w:val="lt-LT"/>
              </w:rPr>
            </w:pPr>
            <w:r>
              <w:rPr>
                <w:rFonts w:cs="Times New Roman"/>
                <w:sz w:val="24"/>
                <w:szCs w:val="24"/>
                <w:u w:val="none"/>
                <w:lang w:val="lt-LT"/>
              </w:rPr>
            </w:r>
          </w:p>
        </w:tc>
        <w:tc>
          <w:tcPr>
            <w:tcW w:w="249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78" w:type="dxa"/>
            </w:tcMar>
          </w:tcPr>
          <w:p>
            <w:pPr>
              <w:pStyle w:val="Normal"/>
              <w:snapToGrid w:val="false"/>
              <w:jc w:val="both"/>
              <w:rPr>
                <w:rFonts w:cs="Times New Roman"/>
                <w:sz w:val="24"/>
                <w:szCs w:val="24"/>
                <w:u w:val="none"/>
                <w:lang w:val="lt-LT"/>
              </w:rPr>
            </w:pPr>
            <w:r>
              <w:rPr>
                <w:rFonts w:cs="Times New Roman"/>
                <w:sz w:val="24"/>
                <w:szCs w:val="24"/>
                <w:u w:val="none"/>
                <w:lang w:val="lt-LT"/>
              </w:rPr>
            </w:r>
          </w:p>
        </w:tc>
      </w:tr>
      <w:tr>
        <w:trPr/>
        <w:tc>
          <w:tcPr>
            <w:tcW w:w="7300" w:type="dxa"/>
            <w:gridSpan w:val="5"/>
            <w:tcBorders>
              <w:top w:val="single" w:sz="4" w:space="0" w:color="000001"/>
              <w:left w:val="single" w:sz="4" w:space="0" w:color="000001"/>
              <w:bottom w:val="single" w:sz="4" w:space="0" w:color="000001"/>
              <w:insideH w:val="single" w:sz="4" w:space="0" w:color="000001"/>
            </w:tcBorders>
            <w:shd w:fill="auto" w:val="clear"/>
            <w:tcMar>
              <w:left w:w="78" w:type="dxa"/>
            </w:tcMar>
            <w:vAlign w:val="center"/>
          </w:tcPr>
          <w:p>
            <w:pPr>
              <w:pStyle w:val="Normal"/>
              <w:jc w:val="both"/>
              <w:rPr>
                <w:rFonts w:cs="Times New Roman"/>
                <w:sz w:val="24"/>
                <w:szCs w:val="24"/>
                <w:u w:val="single"/>
                <w:lang w:val="lt-LT"/>
              </w:rPr>
            </w:pPr>
            <w:r>
              <w:rPr>
                <w:rFonts w:cs="Times New Roman"/>
                <w:b/>
                <w:sz w:val="24"/>
                <w:szCs w:val="24"/>
                <w:lang w:val="lt-LT"/>
              </w:rPr>
              <w:t>IŠ VISO (bendra pasiūlymo kaina):</w:t>
            </w:r>
          </w:p>
        </w:tc>
        <w:tc>
          <w:tcPr>
            <w:tcW w:w="24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78" w:type="dxa"/>
            </w:tcMar>
          </w:tcPr>
          <w:p>
            <w:pPr>
              <w:pStyle w:val="Normal"/>
              <w:snapToGrid w:val="false"/>
              <w:jc w:val="both"/>
              <w:rPr>
                <w:rFonts w:cs="Times New Roman"/>
                <w:sz w:val="24"/>
                <w:szCs w:val="24"/>
                <w:u w:val="single"/>
                <w:lang w:val="lt-LT"/>
              </w:rPr>
            </w:pPr>
            <w:r>
              <w:rPr>
                <w:rFonts w:cs="Times New Roman"/>
                <w:sz w:val="24"/>
                <w:szCs w:val="24"/>
                <w:u w:val="single"/>
                <w:lang w:val="lt-LT"/>
              </w:rPr>
            </w:r>
          </w:p>
        </w:tc>
      </w:tr>
    </w:tbl>
    <w:p>
      <w:pPr>
        <w:pStyle w:val="Normal"/>
        <w:ind w:left="0" w:right="0" w:firstLine="601"/>
        <w:jc w:val="both"/>
        <w:rPr>
          <w:rFonts w:cs="Times New Roman"/>
          <w:sz w:val="24"/>
          <w:szCs w:val="24"/>
          <w:lang w:val="lt-LT"/>
        </w:rPr>
      </w:pPr>
      <w:r>
        <w:rPr>
          <w:rFonts w:cs="Times New Roman"/>
          <w:sz w:val="24"/>
          <w:szCs w:val="24"/>
          <w:lang w:val="lt-LT"/>
        </w:rPr>
      </w:r>
    </w:p>
    <w:p>
      <w:pPr>
        <w:pStyle w:val="Normal"/>
        <w:ind w:left="0" w:right="0" w:hanging="0"/>
        <w:jc w:val="both"/>
        <w:rPr/>
      </w:pPr>
      <w:r>
        <w:rPr>
          <w:rFonts w:cs="Times New Roman"/>
          <w:sz w:val="24"/>
          <w:szCs w:val="24"/>
          <w:lang w:val="lt-LT"/>
        </w:rPr>
        <w:t>Bendra pasiūlymo kaina ___________ Eur su PVM (_______________________________</w:t>
      </w:r>
    </w:p>
    <w:p>
      <w:pPr>
        <w:pStyle w:val="Normal"/>
        <w:jc w:val="both"/>
        <w:rPr>
          <w:rFonts w:cs="Times New Roman"/>
          <w:sz w:val="24"/>
          <w:szCs w:val="24"/>
          <w:lang w:val="lt-LT"/>
        </w:rPr>
      </w:pPr>
      <w:r>
        <w:rPr>
          <w:rFonts w:cs="Times New Roman"/>
          <w:sz w:val="24"/>
          <w:szCs w:val="24"/>
          <w:lang w:val="lt-LT"/>
        </w:rPr>
        <w:t>__________________________________________________________________________) Eur.</w:t>
      </w:r>
    </w:p>
    <w:p>
      <w:pPr>
        <w:pStyle w:val="Normal"/>
        <w:jc w:val="both"/>
        <w:rPr>
          <w:rFonts w:cs="Times New Roman"/>
          <w:sz w:val="24"/>
          <w:szCs w:val="24"/>
          <w:lang w:val="lt-LT"/>
        </w:rPr>
      </w:pPr>
      <w:r>
        <w:rPr>
          <w:rFonts w:cs="Times New Roman"/>
          <w:sz w:val="24"/>
          <w:szCs w:val="24"/>
          <w:lang w:val="lt-LT"/>
        </w:rPr>
        <w:t>(suma žodžiais)</w:t>
      </w:r>
    </w:p>
    <w:p>
      <w:pPr>
        <w:pStyle w:val="Normal"/>
        <w:jc w:val="both"/>
        <w:rPr>
          <w:rFonts w:cs="Times New Roman"/>
          <w:sz w:val="24"/>
          <w:szCs w:val="24"/>
          <w:lang w:val="lt-LT"/>
        </w:rPr>
      </w:pPr>
      <w:r>
        <w:rPr>
          <w:rFonts w:cs="Times New Roman"/>
          <w:sz w:val="24"/>
          <w:szCs w:val="24"/>
          <w:lang w:val="lt-LT"/>
        </w:rPr>
        <w:tab/>
      </w:r>
    </w:p>
    <w:p>
      <w:pPr>
        <w:pStyle w:val="Normal"/>
        <w:jc w:val="both"/>
        <w:rPr>
          <w:rFonts w:cs="Times New Roman"/>
          <w:sz w:val="24"/>
          <w:szCs w:val="24"/>
          <w:lang w:val="lt-LT"/>
        </w:rPr>
      </w:pPr>
      <w:r>
        <w:rPr>
          <w:rFonts w:cs="Times New Roman"/>
          <w:sz w:val="24"/>
          <w:szCs w:val="24"/>
          <w:lang w:val="lt-LT"/>
        </w:rPr>
        <w:tab/>
        <w:t>Į šią sumą įeina visi darbai ir visi mokesčiai.</w:t>
      </w:r>
    </w:p>
    <w:p>
      <w:pPr>
        <w:pStyle w:val="Normal"/>
        <w:spacing w:lineRule="auto" w:line="240" w:before="0" w:after="0"/>
        <w:ind w:left="0" w:right="0" w:firstLine="720"/>
        <w:jc w:val="both"/>
        <w:rPr/>
      </w:pPr>
      <w:r>
        <w:rPr/>
      </w:r>
    </w:p>
    <w:p>
      <w:pPr>
        <w:pStyle w:val="Normal"/>
        <w:spacing w:lineRule="auto" w:line="240" w:before="0" w:after="0"/>
        <w:ind w:left="0" w:right="0" w:firstLine="720"/>
        <w:jc w:val="both"/>
        <w:rPr>
          <w:szCs w:val="24"/>
          <w:lang w:val="lt-LT" w:eastAsia="lt-LT"/>
        </w:rPr>
      </w:pPr>
      <w:r>
        <w:rPr>
          <w:szCs w:val="24"/>
          <w:lang w:val="lt-LT" w:eastAsia="lt-LT"/>
        </w:rPr>
        <w:t xml:space="preserve">4. Vykdant sutartį pasitelksime šiuos subteikėjus*: </w:t>
      </w:r>
    </w:p>
    <w:tbl>
      <w:tblPr>
        <w:tblW w:w="9968" w:type="dxa"/>
        <w:jc w:val="left"/>
        <w:tblInd w:w="-50" w:type="dxa"/>
        <w:tblBorders>
          <w:top w:val="single" w:sz="4" w:space="0" w:color="000001"/>
          <w:left w:val="single" w:sz="4" w:space="0" w:color="000001"/>
          <w:bottom w:val="single" w:sz="4" w:space="0" w:color="000001"/>
          <w:insideH w:val="single" w:sz="4" w:space="0" w:color="000001"/>
        </w:tblBorders>
        <w:tblCellMar>
          <w:top w:w="0" w:type="dxa"/>
          <w:left w:w="78" w:type="dxa"/>
          <w:bottom w:w="0" w:type="dxa"/>
          <w:right w:w="108" w:type="dxa"/>
        </w:tblCellMar>
      </w:tblPr>
      <w:tblGrid>
        <w:gridCol w:w="670"/>
        <w:gridCol w:w="5817"/>
        <w:gridCol w:w="3481"/>
      </w:tblGrid>
      <w:tr>
        <w:trPr>
          <w:trHeight w:val="523" w:hRule="atLeast"/>
        </w:trPr>
        <w:tc>
          <w:tcPr>
            <w:tcW w:w="670" w:type="dxa"/>
            <w:tcBorders>
              <w:top w:val="single" w:sz="4" w:space="0" w:color="000001"/>
              <w:left w:val="single" w:sz="4" w:space="0" w:color="000001"/>
              <w:bottom w:val="single" w:sz="4" w:space="0" w:color="000001"/>
              <w:insideH w:val="single" w:sz="4" w:space="0" w:color="000001"/>
            </w:tcBorders>
            <w:shd w:fill="auto" w:val="clear"/>
            <w:tcMar>
              <w:left w:w="78" w:type="dxa"/>
            </w:tcMar>
          </w:tcPr>
          <w:p>
            <w:pPr>
              <w:pStyle w:val="Normal"/>
              <w:spacing w:lineRule="auto" w:line="240" w:before="0" w:after="0"/>
              <w:ind w:left="-361" w:right="0" w:firstLine="347"/>
              <w:jc w:val="both"/>
              <w:rPr>
                <w:szCs w:val="24"/>
                <w:lang w:val="lt-LT" w:eastAsia="lt-LT"/>
              </w:rPr>
            </w:pPr>
            <w:r>
              <w:rPr>
                <w:szCs w:val="24"/>
                <w:lang w:val="lt-LT" w:eastAsia="lt-LT"/>
              </w:rPr>
              <w:t>Eil.</w:t>
            </w:r>
          </w:p>
          <w:p>
            <w:pPr>
              <w:pStyle w:val="Normal"/>
              <w:spacing w:lineRule="auto" w:line="240" w:before="0" w:after="0"/>
              <w:ind w:left="-361" w:right="0" w:firstLine="347"/>
              <w:jc w:val="both"/>
              <w:rPr>
                <w:szCs w:val="24"/>
                <w:lang w:val="lt-LT" w:eastAsia="lt-LT"/>
              </w:rPr>
            </w:pPr>
            <w:r>
              <w:rPr>
                <w:szCs w:val="24"/>
                <w:lang w:val="lt-LT" w:eastAsia="lt-LT"/>
              </w:rPr>
              <w:t>Nr.</w:t>
            </w:r>
          </w:p>
        </w:tc>
        <w:tc>
          <w:tcPr>
            <w:tcW w:w="5817" w:type="dxa"/>
            <w:tcBorders>
              <w:top w:val="single" w:sz="4" w:space="0" w:color="000001"/>
              <w:left w:val="single" w:sz="4" w:space="0" w:color="000001"/>
              <w:bottom w:val="single" w:sz="4" w:space="0" w:color="000001"/>
              <w:insideH w:val="single" w:sz="4" w:space="0" w:color="000001"/>
            </w:tcBorders>
            <w:shd w:fill="auto" w:val="clear"/>
            <w:tcMar>
              <w:left w:w="78" w:type="dxa"/>
            </w:tcMar>
          </w:tcPr>
          <w:p>
            <w:pPr>
              <w:pStyle w:val="Normal"/>
              <w:spacing w:lineRule="auto" w:line="240" w:before="0" w:after="0"/>
              <w:ind w:left="0" w:right="0" w:firstLine="720"/>
              <w:jc w:val="both"/>
              <w:rPr>
                <w:szCs w:val="24"/>
                <w:lang w:val="lt-LT" w:eastAsia="lt-LT"/>
              </w:rPr>
            </w:pPr>
            <w:r>
              <w:rPr>
                <w:szCs w:val="24"/>
                <w:lang w:val="lt-LT" w:eastAsia="lt-LT"/>
              </w:rPr>
              <w:t xml:space="preserve">Subtiekėjo (subtiekėjo) pavadinimas </w:t>
            </w:r>
          </w:p>
        </w:tc>
        <w:tc>
          <w:tcPr>
            <w:tcW w:w="34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78" w:type="dxa"/>
            </w:tcMar>
          </w:tcPr>
          <w:p>
            <w:pPr>
              <w:pStyle w:val="Normal"/>
              <w:spacing w:lineRule="auto" w:line="240" w:before="0" w:after="0"/>
              <w:jc w:val="both"/>
              <w:rPr>
                <w:szCs w:val="24"/>
                <w:lang w:val="lt-LT" w:eastAsia="lt-LT"/>
              </w:rPr>
            </w:pPr>
            <w:r>
              <w:rPr>
                <w:szCs w:val="24"/>
                <w:lang w:val="lt-LT" w:eastAsia="lt-LT"/>
              </w:rPr>
              <w:t>Numatomų paslaugų dalis (procentais)</w:t>
            </w:r>
          </w:p>
        </w:tc>
      </w:tr>
      <w:tr>
        <w:trPr>
          <w:trHeight w:val="351" w:hRule="atLeast"/>
        </w:trPr>
        <w:tc>
          <w:tcPr>
            <w:tcW w:w="670" w:type="dxa"/>
            <w:tcBorders>
              <w:top w:val="single" w:sz="4" w:space="0" w:color="000001"/>
              <w:left w:val="single" w:sz="4" w:space="0" w:color="000001"/>
              <w:bottom w:val="single" w:sz="4" w:space="0" w:color="000001"/>
              <w:insideH w:val="single" w:sz="4" w:space="0" w:color="000001"/>
            </w:tcBorders>
            <w:shd w:fill="auto" w:val="clear"/>
            <w:tcMar>
              <w:left w:w="78" w:type="dxa"/>
            </w:tcMar>
          </w:tcPr>
          <w:p>
            <w:pPr>
              <w:pStyle w:val="Normal"/>
              <w:spacing w:lineRule="auto" w:line="240" w:before="0" w:after="0"/>
              <w:ind w:left="-361" w:right="0" w:firstLine="361"/>
              <w:jc w:val="both"/>
              <w:rPr>
                <w:szCs w:val="24"/>
                <w:lang w:val="lt-LT" w:eastAsia="lt-LT"/>
              </w:rPr>
            </w:pPr>
            <w:r>
              <w:rPr>
                <w:szCs w:val="24"/>
                <w:lang w:val="lt-LT" w:eastAsia="lt-LT"/>
              </w:rPr>
              <w:t>1.</w:t>
            </w:r>
          </w:p>
        </w:tc>
        <w:tc>
          <w:tcPr>
            <w:tcW w:w="5817" w:type="dxa"/>
            <w:tcBorders>
              <w:top w:val="single" w:sz="4" w:space="0" w:color="000001"/>
              <w:left w:val="single" w:sz="4" w:space="0" w:color="000001"/>
              <w:bottom w:val="single" w:sz="4" w:space="0" w:color="000001"/>
              <w:insideH w:val="single" w:sz="4" w:space="0" w:color="000001"/>
            </w:tcBorders>
            <w:shd w:fill="auto" w:val="clear"/>
            <w:tcMar>
              <w:left w:w="78" w:type="dxa"/>
            </w:tcMar>
          </w:tcPr>
          <w:p>
            <w:pPr>
              <w:pStyle w:val="Normal"/>
              <w:snapToGrid w:val="false"/>
              <w:spacing w:lineRule="auto" w:line="240" w:before="0" w:after="0"/>
              <w:ind w:left="0" w:right="0" w:firstLine="720"/>
              <w:jc w:val="both"/>
              <w:rPr>
                <w:szCs w:val="24"/>
                <w:lang w:val="lt-LT" w:eastAsia="lt-LT"/>
              </w:rPr>
            </w:pPr>
            <w:r>
              <w:rPr>
                <w:szCs w:val="24"/>
                <w:lang w:val="lt-LT" w:eastAsia="lt-LT"/>
              </w:rPr>
            </w:r>
          </w:p>
        </w:tc>
        <w:tc>
          <w:tcPr>
            <w:tcW w:w="34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78" w:type="dxa"/>
            </w:tcMar>
          </w:tcPr>
          <w:p>
            <w:pPr>
              <w:pStyle w:val="Normal"/>
              <w:snapToGrid w:val="false"/>
              <w:spacing w:lineRule="auto" w:line="240" w:before="0" w:after="0"/>
              <w:ind w:left="0" w:right="0" w:firstLine="720"/>
              <w:jc w:val="both"/>
              <w:rPr>
                <w:szCs w:val="24"/>
                <w:lang w:val="lt-LT" w:eastAsia="lt-LT"/>
              </w:rPr>
            </w:pPr>
            <w:r>
              <w:rPr>
                <w:szCs w:val="24"/>
                <w:lang w:val="lt-LT" w:eastAsia="lt-LT"/>
              </w:rPr>
            </w:r>
          </w:p>
        </w:tc>
      </w:tr>
      <w:tr>
        <w:trPr>
          <w:trHeight w:val="351" w:hRule="atLeast"/>
        </w:trPr>
        <w:tc>
          <w:tcPr>
            <w:tcW w:w="670" w:type="dxa"/>
            <w:tcBorders>
              <w:top w:val="single" w:sz="4" w:space="0" w:color="000001"/>
              <w:left w:val="single" w:sz="4" w:space="0" w:color="000001"/>
              <w:bottom w:val="single" w:sz="4" w:space="0" w:color="000001"/>
              <w:insideH w:val="single" w:sz="4" w:space="0" w:color="000001"/>
            </w:tcBorders>
            <w:shd w:fill="auto" w:val="clear"/>
            <w:tcMar>
              <w:left w:w="78" w:type="dxa"/>
            </w:tcMar>
          </w:tcPr>
          <w:p>
            <w:pPr>
              <w:pStyle w:val="Normal"/>
              <w:spacing w:lineRule="auto" w:line="240" w:before="0" w:after="0"/>
              <w:ind w:left="0" w:right="0" w:firstLine="720"/>
              <w:jc w:val="both"/>
              <w:rPr>
                <w:szCs w:val="24"/>
                <w:lang w:val="lt-LT" w:eastAsia="lt-LT"/>
              </w:rPr>
            </w:pPr>
            <w:r>
              <w:rPr>
                <w:szCs w:val="24"/>
                <w:lang w:val="lt-LT" w:eastAsia="lt-LT"/>
              </w:rPr>
              <w:t>.</w:t>
            </w:r>
          </w:p>
        </w:tc>
        <w:tc>
          <w:tcPr>
            <w:tcW w:w="5817" w:type="dxa"/>
            <w:tcBorders>
              <w:top w:val="single" w:sz="4" w:space="0" w:color="000001"/>
              <w:left w:val="single" w:sz="4" w:space="0" w:color="000001"/>
              <w:bottom w:val="single" w:sz="4" w:space="0" w:color="000001"/>
              <w:insideH w:val="single" w:sz="4" w:space="0" w:color="000001"/>
            </w:tcBorders>
            <w:shd w:fill="auto" w:val="clear"/>
            <w:tcMar>
              <w:left w:w="78" w:type="dxa"/>
            </w:tcMar>
          </w:tcPr>
          <w:p>
            <w:pPr>
              <w:pStyle w:val="Normal"/>
              <w:snapToGrid w:val="false"/>
              <w:spacing w:lineRule="auto" w:line="240" w:before="0" w:after="0"/>
              <w:ind w:left="0" w:right="0" w:firstLine="720"/>
              <w:jc w:val="both"/>
              <w:rPr>
                <w:szCs w:val="24"/>
                <w:lang w:val="lt-LT" w:eastAsia="lt-LT"/>
              </w:rPr>
            </w:pPr>
            <w:r>
              <w:rPr>
                <w:szCs w:val="24"/>
                <w:lang w:val="lt-LT" w:eastAsia="lt-LT"/>
              </w:rPr>
            </w:r>
          </w:p>
        </w:tc>
        <w:tc>
          <w:tcPr>
            <w:tcW w:w="34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78" w:type="dxa"/>
            </w:tcMar>
          </w:tcPr>
          <w:p>
            <w:pPr>
              <w:pStyle w:val="Normal"/>
              <w:snapToGrid w:val="false"/>
              <w:spacing w:lineRule="auto" w:line="240" w:before="0" w:after="0"/>
              <w:ind w:left="0" w:right="0" w:firstLine="720"/>
              <w:jc w:val="both"/>
              <w:rPr>
                <w:szCs w:val="24"/>
                <w:lang w:val="lt-LT" w:eastAsia="lt-LT"/>
              </w:rPr>
            </w:pPr>
            <w:r>
              <w:rPr>
                <w:szCs w:val="24"/>
                <w:lang w:val="lt-LT" w:eastAsia="lt-LT"/>
              </w:rPr>
            </w:r>
          </w:p>
        </w:tc>
      </w:tr>
    </w:tbl>
    <w:p>
      <w:pPr>
        <w:pStyle w:val="Normal"/>
        <w:spacing w:lineRule="auto" w:line="240" w:before="0" w:after="0"/>
        <w:ind w:left="0" w:right="0" w:firstLine="720"/>
        <w:jc w:val="both"/>
        <w:rPr/>
      </w:pPr>
      <w:r>
        <w:rPr>
          <w:rFonts w:cs="Times New Roman"/>
          <w:sz w:val="24"/>
          <w:szCs w:val="24"/>
          <w:lang w:val="lt-LT" w:eastAsia="lt-LT"/>
        </w:rPr>
        <w:t>*</w:t>
      </w:r>
      <w:r>
        <w:rPr>
          <w:rFonts w:cs="Times New Roman"/>
          <w:i/>
          <w:sz w:val="20"/>
          <w:szCs w:val="20"/>
          <w:lang w:val="lt-LT" w:eastAsia="lt-LT"/>
        </w:rPr>
        <w:t>Pildyti tuomet, jei sutarties vykdymui bus pasitelkti subteikėjai</w:t>
      </w:r>
    </w:p>
    <w:p>
      <w:pPr>
        <w:pStyle w:val="Normal"/>
        <w:ind w:left="0" w:right="0" w:firstLine="720"/>
        <w:jc w:val="both"/>
        <w:rPr>
          <w:rFonts w:cs="Times New Roman"/>
          <w:sz w:val="10"/>
          <w:szCs w:val="10"/>
          <w:lang w:val="lt-LT"/>
        </w:rPr>
      </w:pPr>
      <w:r>
        <w:rPr>
          <w:rFonts w:cs="Times New Roman"/>
          <w:sz w:val="24"/>
          <w:szCs w:val="24"/>
          <w:lang w:val="lt-LT"/>
        </w:rPr>
        <w:t>5. Kartu su pasiūlymu pateikiami šie dokumentai:</w:t>
      </w:r>
    </w:p>
    <w:p>
      <w:pPr>
        <w:pStyle w:val="Normal"/>
        <w:ind w:left="0" w:right="0" w:firstLine="720"/>
        <w:jc w:val="both"/>
        <w:rPr>
          <w:rFonts w:cs="Times New Roman"/>
          <w:sz w:val="10"/>
          <w:szCs w:val="10"/>
          <w:lang w:val="lt-LT"/>
        </w:rPr>
      </w:pPr>
      <w:r>
        <w:rPr>
          <w:rFonts w:cs="Times New Roman"/>
          <w:sz w:val="10"/>
          <w:szCs w:val="10"/>
          <w:lang w:val="lt-LT"/>
        </w:rPr>
      </w:r>
    </w:p>
    <w:tbl>
      <w:tblPr>
        <w:tblW w:w="9920" w:type="dxa"/>
        <w:jc w:val="left"/>
        <w:tblInd w:w="-165" w:type="dxa"/>
        <w:tblBorders>
          <w:top w:val="single" w:sz="4" w:space="0" w:color="000001"/>
          <w:left w:val="single" w:sz="4" w:space="0" w:color="000001"/>
          <w:bottom w:val="single" w:sz="4" w:space="0" w:color="000001"/>
          <w:insideH w:val="single" w:sz="4" w:space="0" w:color="000001"/>
        </w:tblBorders>
        <w:tblCellMar>
          <w:top w:w="0" w:type="dxa"/>
          <w:left w:w="78" w:type="dxa"/>
          <w:bottom w:w="0" w:type="dxa"/>
          <w:right w:w="108" w:type="dxa"/>
        </w:tblCellMar>
      </w:tblPr>
      <w:tblGrid>
        <w:gridCol w:w="872"/>
        <w:gridCol w:w="3334"/>
        <w:gridCol w:w="5714"/>
      </w:tblGrid>
      <w:tr>
        <w:trPr/>
        <w:tc>
          <w:tcPr>
            <w:tcW w:w="872" w:type="dxa"/>
            <w:tcBorders>
              <w:top w:val="single" w:sz="4" w:space="0" w:color="000001"/>
              <w:left w:val="single" w:sz="4" w:space="0" w:color="000001"/>
              <w:bottom w:val="single" w:sz="4" w:space="0" w:color="000001"/>
              <w:insideH w:val="single" w:sz="4" w:space="0" w:color="000001"/>
            </w:tcBorders>
            <w:shd w:fill="auto" w:val="clear"/>
            <w:tcMar>
              <w:left w:w="78" w:type="dxa"/>
            </w:tcMar>
          </w:tcPr>
          <w:p>
            <w:pPr>
              <w:pStyle w:val="Normal"/>
              <w:jc w:val="center"/>
              <w:rPr>
                <w:rFonts w:eastAsia="Times New Roman" w:cs="Times New Roman"/>
                <w:sz w:val="24"/>
                <w:szCs w:val="24"/>
                <w:lang w:val="lt-LT"/>
              </w:rPr>
            </w:pPr>
            <w:r>
              <w:rPr>
                <w:rFonts w:cs="Times New Roman"/>
                <w:sz w:val="24"/>
                <w:szCs w:val="24"/>
                <w:lang w:val="lt-LT"/>
              </w:rPr>
              <w:t>Eil.Nr.</w:t>
            </w:r>
          </w:p>
        </w:tc>
        <w:tc>
          <w:tcPr>
            <w:tcW w:w="3334" w:type="dxa"/>
            <w:tcBorders>
              <w:top w:val="single" w:sz="4" w:space="0" w:color="000001"/>
              <w:left w:val="single" w:sz="4" w:space="0" w:color="000001"/>
              <w:bottom w:val="single" w:sz="4" w:space="0" w:color="000001"/>
              <w:insideH w:val="single" w:sz="4" w:space="0" w:color="000001"/>
            </w:tcBorders>
            <w:shd w:fill="auto" w:val="clear"/>
            <w:tcMar>
              <w:left w:w="78" w:type="dxa"/>
            </w:tcMar>
          </w:tcPr>
          <w:p>
            <w:pPr>
              <w:pStyle w:val="Normal"/>
              <w:spacing w:lineRule="atLeast" w:line="100" w:before="0" w:after="0"/>
              <w:ind w:left="0" w:right="-108" w:hanging="0"/>
              <w:jc w:val="center"/>
              <w:rPr>
                <w:rFonts w:cs="Times New Roman"/>
                <w:sz w:val="24"/>
                <w:szCs w:val="24"/>
                <w:lang w:val="lt-LT"/>
              </w:rPr>
            </w:pPr>
            <w:r>
              <w:rPr>
                <w:rFonts w:eastAsia="Times New Roman" w:cs="Times New Roman"/>
                <w:sz w:val="24"/>
                <w:szCs w:val="24"/>
                <w:lang w:val="lt-LT"/>
              </w:rPr>
              <w:t>Pateiktų dokumentų pavadinimas</w:t>
            </w:r>
          </w:p>
        </w:tc>
        <w:tc>
          <w:tcPr>
            <w:tcW w:w="5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78" w:type="dxa"/>
            </w:tcMar>
          </w:tcPr>
          <w:p>
            <w:pPr>
              <w:pStyle w:val="Normal"/>
              <w:jc w:val="center"/>
              <w:rPr>
                <w:rFonts w:cs="Times New Roman"/>
                <w:sz w:val="24"/>
                <w:szCs w:val="24"/>
                <w:lang w:val="lt-LT"/>
              </w:rPr>
            </w:pPr>
            <w:r>
              <w:rPr>
                <w:rFonts w:cs="Times New Roman"/>
                <w:sz w:val="24"/>
                <w:szCs w:val="24"/>
                <w:lang w:val="lt-LT"/>
              </w:rPr>
              <w:t>Dokumento puslapių skaičius</w:t>
            </w:r>
          </w:p>
        </w:tc>
      </w:tr>
      <w:tr>
        <w:trPr/>
        <w:tc>
          <w:tcPr>
            <w:tcW w:w="872" w:type="dxa"/>
            <w:tcBorders>
              <w:top w:val="single" w:sz="4" w:space="0" w:color="000001"/>
              <w:left w:val="single" w:sz="4" w:space="0" w:color="000001"/>
              <w:bottom w:val="single" w:sz="4" w:space="0" w:color="000001"/>
              <w:insideH w:val="single" w:sz="4" w:space="0" w:color="000001"/>
            </w:tcBorders>
            <w:shd w:fill="auto" w:val="clear"/>
            <w:tcMar>
              <w:left w:w="78" w:type="dxa"/>
            </w:tcMar>
          </w:tcPr>
          <w:p>
            <w:pPr>
              <w:pStyle w:val="Normal"/>
              <w:snapToGrid w:val="false"/>
              <w:jc w:val="both"/>
              <w:rPr>
                <w:rFonts w:cs="Times New Roman"/>
                <w:sz w:val="24"/>
                <w:szCs w:val="24"/>
                <w:lang w:val="lt-LT"/>
              </w:rPr>
            </w:pPr>
            <w:r>
              <w:rPr>
                <w:rFonts w:cs="Times New Roman"/>
                <w:sz w:val="24"/>
                <w:szCs w:val="24"/>
                <w:lang w:val="lt-LT"/>
              </w:rPr>
            </w:r>
          </w:p>
        </w:tc>
        <w:tc>
          <w:tcPr>
            <w:tcW w:w="3334" w:type="dxa"/>
            <w:tcBorders>
              <w:top w:val="single" w:sz="4" w:space="0" w:color="000001"/>
              <w:left w:val="single" w:sz="4" w:space="0" w:color="000001"/>
              <w:bottom w:val="single" w:sz="4" w:space="0" w:color="000001"/>
              <w:insideH w:val="single" w:sz="4" w:space="0" w:color="000001"/>
            </w:tcBorders>
            <w:shd w:fill="auto" w:val="clear"/>
            <w:tcMar>
              <w:left w:w="78" w:type="dxa"/>
            </w:tcMar>
          </w:tcPr>
          <w:p>
            <w:pPr>
              <w:pStyle w:val="Normal"/>
              <w:snapToGrid w:val="false"/>
              <w:jc w:val="both"/>
              <w:rPr>
                <w:rFonts w:cs="Times New Roman"/>
                <w:sz w:val="24"/>
                <w:szCs w:val="24"/>
                <w:lang w:val="lt-LT"/>
              </w:rPr>
            </w:pPr>
            <w:r>
              <w:rPr>
                <w:rFonts w:cs="Times New Roman"/>
                <w:sz w:val="24"/>
                <w:szCs w:val="24"/>
                <w:lang w:val="lt-LT"/>
              </w:rPr>
            </w:r>
          </w:p>
        </w:tc>
        <w:tc>
          <w:tcPr>
            <w:tcW w:w="5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78" w:type="dxa"/>
            </w:tcMar>
          </w:tcPr>
          <w:p>
            <w:pPr>
              <w:pStyle w:val="Normal"/>
              <w:snapToGrid w:val="false"/>
              <w:jc w:val="both"/>
              <w:rPr>
                <w:rFonts w:cs="Times New Roman"/>
                <w:sz w:val="24"/>
                <w:szCs w:val="24"/>
                <w:lang w:val="lt-LT"/>
              </w:rPr>
            </w:pPr>
            <w:r>
              <w:rPr>
                <w:rFonts w:cs="Times New Roman"/>
                <w:sz w:val="24"/>
                <w:szCs w:val="24"/>
                <w:lang w:val="lt-LT"/>
              </w:rPr>
            </w:r>
          </w:p>
        </w:tc>
      </w:tr>
      <w:tr>
        <w:trPr/>
        <w:tc>
          <w:tcPr>
            <w:tcW w:w="872" w:type="dxa"/>
            <w:tcBorders>
              <w:top w:val="single" w:sz="4" w:space="0" w:color="000001"/>
              <w:left w:val="single" w:sz="4" w:space="0" w:color="000001"/>
              <w:bottom w:val="single" w:sz="4" w:space="0" w:color="000001"/>
              <w:insideH w:val="single" w:sz="4" w:space="0" w:color="000001"/>
            </w:tcBorders>
            <w:shd w:fill="auto" w:val="clear"/>
            <w:tcMar>
              <w:left w:w="78" w:type="dxa"/>
            </w:tcMar>
          </w:tcPr>
          <w:p>
            <w:pPr>
              <w:pStyle w:val="Normal"/>
              <w:snapToGrid w:val="false"/>
              <w:jc w:val="both"/>
              <w:rPr>
                <w:rFonts w:cs="Times New Roman"/>
                <w:sz w:val="24"/>
                <w:szCs w:val="24"/>
                <w:lang w:val="lt-LT"/>
              </w:rPr>
            </w:pPr>
            <w:r>
              <w:rPr>
                <w:rFonts w:cs="Times New Roman"/>
                <w:sz w:val="24"/>
                <w:szCs w:val="24"/>
                <w:lang w:val="lt-LT"/>
              </w:rPr>
            </w:r>
          </w:p>
        </w:tc>
        <w:tc>
          <w:tcPr>
            <w:tcW w:w="3334" w:type="dxa"/>
            <w:tcBorders>
              <w:top w:val="single" w:sz="4" w:space="0" w:color="000001"/>
              <w:left w:val="single" w:sz="4" w:space="0" w:color="000001"/>
              <w:bottom w:val="single" w:sz="4" w:space="0" w:color="000001"/>
              <w:insideH w:val="single" w:sz="4" w:space="0" w:color="000001"/>
            </w:tcBorders>
            <w:shd w:fill="auto" w:val="clear"/>
            <w:tcMar>
              <w:left w:w="78" w:type="dxa"/>
            </w:tcMar>
          </w:tcPr>
          <w:p>
            <w:pPr>
              <w:pStyle w:val="Puslapinantrat"/>
              <w:tabs>
                <w:tab w:val="left" w:pos="1296" w:leader="none"/>
                <w:tab w:val="center" w:pos="4153" w:leader="none"/>
                <w:tab w:val="center" w:pos="4800" w:leader="none"/>
                <w:tab w:val="right" w:pos="9100" w:leader="none"/>
                <w:tab w:val="right" w:pos="9601" w:leader="none"/>
              </w:tabs>
              <w:snapToGrid w:val="false"/>
              <w:jc w:val="both"/>
              <w:rPr>
                <w:rFonts w:cs="Times New Roman"/>
                <w:sz w:val="24"/>
                <w:szCs w:val="24"/>
                <w:lang w:val="lt-LT"/>
              </w:rPr>
            </w:pPr>
            <w:r>
              <w:rPr>
                <w:rFonts w:cs="Times New Roman"/>
                <w:sz w:val="24"/>
                <w:szCs w:val="24"/>
                <w:lang w:val="lt-LT"/>
              </w:rPr>
            </w:r>
          </w:p>
        </w:tc>
        <w:tc>
          <w:tcPr>
            <w:tcW w:w="5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78" w:type="dxa"/>
            </w:tcMar>
          </w:tcPr>
          <w:p>
            <w:pPr>
              <w:pStyle w:val="Normal"/>
              <w:snapToGrid w:val="false"/>
              <w:jc w:val="both"/>
              <w:rPr>
                <w:rFonts w:cs="Times New Roman"/>
                <w:sz w:val="24"/>
                <w:szCs w:val="24"/>
                <w:lang w:val="lt-LT"/>
              </w:rPr>
            </w:pPr>
            <w:r>
              <w:rPr>
                <w:rFonts w:cs="Times New Roman"/>
                <w:sz w:val="24"/>
                <w:szCs w:val="24"/>
                <w:lang w:val="lt-LT"/>
              </w:rPr>
            </w:r>
          </w:p>
        </w:tc>
      </w:tr>
    </w:tbl>
    <w:p>
      <w:pPr>
        <w:pStyle w:val="Normal"/>
        <w:jc w:val="both"/>
        <w:rPr>
          <w:rFonts w:cs="Times New Roman"/>
          <w:sz w:val="24"/>
          <w:szCs w:val="24"/>
          <w:lang w:val="lt-LT"/>
        </w:rPr>
      </w:pPr>
      <w:r>
        <w:rPr>
          <w:rFonts w:cs="Times New Roman"/>
          <w:sz w:val="24"/>
          <w:szCs w:val="24"/>
          <w:lang w:val="lt-LT"/>
        </w:rPr>
      </w:r>
    </w:p>
    <w:tbl>
      <w:tblPr>
        <w:tblW w:w="9828" w:type="dxa"/>
        <w:jc w:val="left"/>
        <w:tblInd w:w="0" w:type="dxa"/>
        <w:tblBorders/>
        <w:tblCellMar>
          <w:top w:w="0" w:type="dxa"/>
          <w:left w:w="108" w:type="dxa"/>
          <w:bottom w:w="0" w:type="dxa"/>
          <w:right w:w="108" w:type="dxa"/>
        </w:tblCellMar>
      </w:tblPr>
      <w:tblGrid>
        <w:gridCol w:w="2987"/>
        <w:gridCol w:w="6840"/>
      </w:tblGrid>
      <w:tr>
        <w:trPr>
          <w:trHeight w:val="324" w:hRule="atLeast"/>
        </w:trPr>
        <w:tc>
          <w:tcPr>
            <w:tcW w:w="9827" w:type="dxa"/>
            <w:gridSpan w:val="2"/>
            <w:tcBorders/>
            <w:shd w:fill="auto" w:val="clear"/>
          </w:tcPr>
          <w:p>
            <w:pPr>
              <w:pStyle w:val="Normal"/>
              <w:ind w:left="0" w:right="-108" w:hanging="0"/>
              <w:jc w:val="both"/>
              <w:rPr/>
            </w:pPr>
            <w:r>
              <w:rPr>
                <w:rFonts w:cs="Times New Roman"/>
                <w:b/>
                <w:sz w:val="24"/>
                <w:szCs w:val="24"/>
                <w:lang w:val="lt-LT"/>
              </w:rPr>
              <w:t>Pasiūlymas galioja</w:t>
            </w:r>
            <w:r>
              <w:rPr>
                <w:rFonts w:cs="Times New Roman"/>
                <w:sz w:val="24"/>
                <w:szCs w:val="24"/>
                <w:lang w:val="lt-LT"/>
              </w:rPr>
              <w:t xml:space="preserve"> </w:t>
            </w:r>
            <w:r>
              <w:rPr>
                <w:rFonts w:cs="Times New Roman"/>
                <w:b/>
                <w:sz w:val="24"/>
                <w:szCs w:val="24"/>
                <w:lang w:val="lt-LT"/>
              </w:rPr>
              <w:t xml:space="preserve">iki </w:t>
            </w:r>
          </w:p>
        </w:tc>
      </w:tr>
      <w:tr>
        <w:trPr/>
        <w:tc>
          <w:tcPr>
            <w:tcW w:w="2987" w:type="dxa"/>
            <w:tcBorders/>
            <w:shd w:fill="auto" w:val="clear"/>
          </w:tcPr>
          <w:p>
            <w:pPr>
              <w:pStyle w:val="Normal"/>
              <w:snapToGrid w:val="false"/>
              <w:jc w:val="both"/>
              <w:rPr>
                <w:rFonts w:cs="Times New Roman"/>
                <w:sz w:val="24"/>
                <w:szCs w:val="24"/>
                <w:lang w:val="lt-LT"/>
              </w:rPr>
            </w:pPr>
            <w:r>
              <w:rPr>
                <w:rFonts w:cs="Times New Roman"/>
                <w:sz w:val="24"/>
                <w:szCs w:val="24"/>
                <w:lang w:val="lt-LT"/>
              </w:rPr>
            </w:r>
          </w:p>
        </w:tc>
        <w:tc>
          <w:tcPr>
            <w:tcW w:w="6840" w:type="dxa"/>
            <w:tcBorders/>
            <w:shd w:fill="auto" w:val="clear"/>
          </w:tcPr>
          <w:p>
            <w:pPr>
              <w:pStyle w:val="Normal"/>
              <w:snapToGrid w:val="false"/>
              <w:jc w:val="both"/>
              <w:rPr>
                <w:rFonts w:cs="Times New Roman"/>
                <w:i/>
                <w:i/>
                <w:sz w:val="24"/>
                <w:szCs w:val="24"/>
                <w:lang w:val="lt-LT"/>
              </w:rPr>
            </w:pPr>
            <w:r>
              <w:rPr>
                <w:rFonts w:cs="Times New Roman"/>
                <w:i/>
                <w:sz w:val="24"/>
                <w:szCs w:val="24"/>
                <w:lang w:val="lt-LT"/>
              </w:rPr>
            </w:r>
          </w:p>
        </w:tc>
      </w:tr>
    </w:tbl>
    <w:p>
      <w:pPr>
        <w:pStyle w:val="Normal"/>
        <w:jc w:val="both"/>
        <w:rPr>
          <w:rFonts w:cs="Times New Roman"/>
          <w:sz w:val="24"/>
          <w:szCs w:val="24"/>
          <w:lang w:val="lt-LT"/>
        </w:rPr>
      </w:pPr>
      <w:r>
        <w:rPr>
          <w:rFonts w:cs="Times New Roman"/>
          <w:sz w:val="24"/>
          <w:szCs w:val="24"/>
          <w:lang w:val="lt-LT"/>
        </w:rPr>
      </w:r>
    </w:p>
    <w:tbl>
      <w:tblPr>
        <w:tblW w:w="9828" w:type="dxa"/>
        <w:jc w:val="left"/>
        <w:tblInd w:w="0" w:type="dxa"/>
        <w:tblBorders>
          <w:bottom w:val="single" w:sz="4" w:space="0" w:color="000001"/>
          <w:insideH w:val="single" w:sz="4" w:space="0" w:color="000001"/>
        </w:tblBorders>
        <w:tblCellMar>
          <w:top w:w="0" w:type="dxa"/>
          <w:left w:w="108" w:type="dxa"/>
          <w:bottom w:w="0" w:type="dxa"/>
          <w:right w:w="108" w:type="dxa"/>
        </w:tblCellMar>
      </w:tblPr>
      <w:tblGrid>
        <w:gridCol w:w="3284"/>
        <w:gridCol w:w="603"/>
        <w:gridCol w:w="1985"/>
        <w:gridCol w:w="699"/>
        <w:gridCol w:w="2613"/>
        <w:gridCol w:w="643"/>
      </w:tblGrid>
      <w:tr>
        <w:trPr>
          <w:trHeight w:val="285" w:hRule="atLeast"/>
        </w:trPr>
        <w:tc>
          <w:tcPr>
            <w:tcW w:w="3284" w:type="dxa"/>
            <w:tcBorders>
              <w:bottom w:val="single" w:sz="4" w:space="0" w:color="000001"/>
              <w:insideH w:val="single" w:sz="4" w:space="0" w:color="000001"/>
            </w:tcBorders>
            <w:shd w:fill="auto" w:val="clear"/>
          </w:tcPr>
          <w:p>
            <w:pPr>
              <w:pStyle w:val="Normal"/>
              <w:snapToGrid w:val="false"/>
              <w:ind w:left="0" w:right="-1" w:hanging="0"/>
              <w:jc w:val="both"/>
              <w:rPr>
                <w:rFonts w:cs="Times New Roman"/>
                <w:sz w:val="24"/>
                <w:szCs w:val="24"/>
                <w:lang w:val="lt-LT"/>
              </w:rPr>
            </w:pPr>
            <w:r>
              <w:rPr>
                <w:rFonts w:cs="Times New Roman"/>
                <w:sz w:val="24"/>
                <w:szCs w:val="24"/>
                <w:lang w:val="lt-LT"/>
              </w:rPr>
            </w:r>
          </w:p>
        </w:tc>
        <w:tc>
          <w:tcPr>
            <w:tcW w:w="603" w:type="dxa"/>
            <w:tcBorders>
              <w:bottom w:val="single" w:sz="4" w:space="0" w:color="000001"/>
              <w:insideH w:val="single" w:sz="4" w:space="0" w:color="000001"/>
            </w:tcBorders>
            <w:shd w:fill="auto" w:val="clear"/>
          </w:tcPr>
          <w:p>
            <w:pPr>
              <w:pStyle w:val="Normal"/>
              <w:snapToGrid w:val="false"/>
              <w:ind w:left="0" w:right="-1" w:hanging="0"/>
              <w:jc w:val="both"/>
              <w:rPr>
                <w:rFonts w:cs="Times New Roman"/>
                <w:sz w:val="24"/>
                <w:szCs w:val="24"/>
                <w:lang w:val="lt-LT"/>
              </w:rPr>
            </w:pPr>
            <w:r>
              <w:rPr>
                <w:rFonts w:cs="Times New Roman"/>
                <w:sz w:val="24"/>
                <w:szCs w:val="24"/>
                <w:lang w:val="lt-LT"/>
              </w:rPr>
            </w:r>
          </w:p>
        </w:tc>
        <w:tc>
          <w:tcPr>
            <w:tcW w:w="1985" w:type="dxa"/>
            <w:tcBorders>
              <w:bottom w:val="single" w:sz="4" w:space="0" w:color="000001"/>
              <w:insideH w:val="single" w:sz="4" w:space="0" w:color="000001"/>
            </w:tcBorders>
            <w:shd w:fill="auto" w:val="clear"/>
          </w:tcPr>
          <w:p>
            <w:pPr>
              <w:pStyle w:val="Normal"/>
              <w:snapToGrid w:val="false"/>
              <w:ind w:left="0" w:right="-1" w:hanging="0"/>
              <w:jc w:val="both"/>
              <w:rPr>
                <w:rFonts w:cs="Times New Roman"/>
                <w:sz w:val="24"/>
                <w:szCs w:val="24"/>
                <w:lang w:val="lt-LT"/>
              </w:rPr>
            </w:pPr>
            <w:r>
              <w:rPr>
                <w:rFonts w:cs="Times New Roman"/>
                <w:sz w:val="24"/>
                <w:szCs w:val="24"/>
                <w:lang w:val="lt-LT"/>
              </w:rPr>
            </w:r>
          </w:p>
        </w:tc>
        <w:tc>
          <w:tcPr>
            <w:tcW w:w="699" w:type="dxa"/>
            <w:tcBorders>
              <w:bottom w:val="single" w:sz="4" w:space="0" w:color="000001"/>
              <w:insideH w:val="single" w:sz="4" w:space="0" w:color="000001"/>
            </w:tcBorders>
            <w:shd w:fill="auto" w:val="clear"/>
          </w:tcPr>
          <w:p>
            <w:pPr>
              <w:pStyle w:val="Normal"/>
              <w:snapToGrid w:val="false"/>
              <w:ind w:left="0" w:right="-1" w:hanging="0"/>
              <w:jc w:val="both"/>
              <w:rPr>
                <w:rFonts w:cs="Times New Roman"/>
                <w:sz w:val="24"/>
                <w:szCs w:val="24"/>
                <w:lang w:val="lt-LT"/>
              </w:rPr>
            </w:pPr>
            <w:r>
              <w:rPr>
                <w:rFonts w:cs="Times New Roman"/>
                <w:sz w:val="24"/>
                <w:szCs w:val="24"/>
                <w:lang w:val="lt-LT"/>
              </w:rPr>
            </w:r>
          </w:p>
        </w:tc>
        <w:tc>
          <w:tcPr>
            <w:tcW w:w="2613" w:type="dxa"/>
            <w:tcBorders>
              <w:bottom w:val="single" w:sz="4" w:space="0" w:color="000001"/>
              <w:insideH w:val="single" w:sz="4" w:space="0" w:color="000001"/>
            </w:tcBorders>
            <w:shd w:fill="auto" w:val="clear"/>
          </w:tcPr>
          <w:p>
            <w:pPr>
              <w:pStyle w:val="Normal"/>
              <w:snapToGrid w:val="false"/>
              <w:ind w:left="0" w:right="-1" w:hanging="0"/>
              <w:jc w:val="both"/>
              <w:rPr>
                <w:rFonts w:cs="Times New Roman"/>
                <w:sz w:val="24"/>
                <w:szCs w:val="24"/>
                <w:lang w:val="lt-LT"/>
              </w:rPr>
            </w:pPr>
            <w:r>
              <w:rPr>
                <w:rFonts w:cs="Times New Roman"/>
                <w:sz w:val="24"/>
                <w:szCs w:val="24"/>
                <w:lang w:val="lt-LT"/>
              </w:rPr>
            </w:r>
          </w:p>
        </w:tc>
        <w:tc>
          <w:tcPr>
            <w:tcW w:w="643" w:type="dxa"/>
            <w:tcBorders>
              <w:bottom w:val="single" w:sz="4" w:space="0" w:color="000001"/>
              <w:insideH w:val="single" w:sz="4" w:space="0" w:color="000001"/>
            </w:tcBorders>
            <w:shd w:fill="auto" w:val="clear"/>
          </w:tcPr>
          <w:p>
            <w:pPr>
              <w:pStyle w:val="Normal"/>
              <w:snapToGrid w:val="false"/>
              <w:ind w:left="0" w:right="-1" w:hanging="0"/>
              <w:jc w:val="both"/>
              <w:rPr>
                <w:rFonts w:cs="Times New Roman"/>
                <w:sz w:val="24"/>
                <w:szCs w:val="24"/>
                <w:lang w:val="lt-LT"/>
              </w:rPr>
            </w:pPr>
            <w:r>
              <w:rPr>
                <w:rFonts w:cs="Times New Roman"/>
                <w:sz w:val="24"/>
                <w:szCs w:val="24"/>
                <w:lang w:val="lt-LT"/>
              </w:rPr>
            </w:r>
          </w:p>
        </w:tc>
      </w:tr>
      <w:tr>
        <w:trPr>
          <w:trHeight w:val="186" w:hRule="atLeast"/>
        </w:trPr>
        <w:tc>
          <w:tcPr>
            <w:tcW w:w="3284" w:type="dxa"/>
            <w:tcBorders>
              <w:top w:val="single" w:sz="4" w:space="0" w:color="000001"/>
              <w:bottom w:val="single" w:sz="4" w:space="0" w:color="000001"/>
              <w:insideH w:val="single" w:sz="4" w:space="0" w:color="000001"/>
            </w:tcBorders>
            <w:shd w:fill="auto" w:val="clear"/>
          </w:tcPr>
          <w:p>
            <w:pPr>
              <w:pStyle w:val="Bodytext1"/>
              <w:ind w:left="0" w:right="0" w:hanging="0"/>
              <w:jc w:val="both"/>
              <w:rPr>
                <w:rFonts w:cs="Times New Roman"/>
                <w:sz w:val="24"/>
                <w:szCs w:val="24"/>
                <w:lang w:val="lt-LT"/>
              </w:rPr>
            </w:pPr>
            <w:r>
              <w:rPr>
                <w:rFonts w:cs="Times New Roman" w:ascii="Times New Roman" w:hAnsi="Times New Roman"/>
                <w:position w:val="24"/>
                <w:sz w:val="24"/>
                <w:szCs w:val="24"/>
                <w:lang w:val="lt-LT"/>
              </w:rPr>
              <w:t>(Tiekėjo arba jo įgalioto asmens pareigų pavadinimas)</w:t>
            </w:r>
          </w:p>
        </w:tc>
        <w:tc>
          <w:tcPr>
            <w:tcW w:w="603" w:type="dxa"/>
            <w:tcBorders>
              <w:top w:val="single" w:sz="4" w:space="0" w:color="000001"/>
              <w:bottom w:val="single" w:sz="4" w:space="0" w:color="000001"/>
              <w:insideH w:val="single" w:sz="4" w:space="0" w:color="000001"/>
            </w:tcBorders>
            <w:shd w:fill="auto" w:val="clear"/>
          </w:tcPr>
          <w:p>
            <w:pPr>
              <w:pStyle w:val="Normal"/>
              <w:snapToGrid w:val="false"/>
              <w:ind w:left="0" w:right="-1" w:hanging="0"/>
              <w:jc w:val="both"/>
              <w:rPr>
                <w:rFonts w:cs="Times New Roman"/>
                <w:sz w:val="24"/>
                <w:szCs w:val="24"/>
                <w:lang w:val="lt-LT"/>
              </w:rPr>
            </w:pPr>
            <w:r>
              <w:rPr>
                <w:rFonts w:cs="Times New Roman"/>
                <w:sz w:val="24"/>
                <w:szCs w:val="24"/>
                <w:lang w:val="lt-LT"/>
              </w:rPr>
            </w:r>
          </w:p>
        </w:tc>
        <w:tc>
          <w:tcPr>
            <w:tcW w:w="1985" w:type="dxa"/>
            <w:tcBorders>
              <w:top w:val="single" w:sz="4" w:space="0" w:color="000001"/>
              <w:bottom w:val="single" w:sz="4" w:space="0" w:color="000001"/>
              <w:insideH w:val="single" w:sz="4" w:space="0" w:color="000001"/>
            </w:tcBorders>
            <w:shd w:fill="auto" w:val="clear"/>
          </w:tcPr>
          <w:p>
            <w:pPr>
              <w:pStyle w:val="Normal"/>
              <w:ind w:left="0" w:right="-1" w:hanging="0"/>
              <w:jc w:val="both"/>
              <w:rPr>
                <w:rFonts w:cs="Times New Roman"/>
                <w:sz w:val="24"/>
                <w:szCs w:val="24"/>
                <w:lang w:val="lt-LT"/>
              </w:rPr>
            </w:pPr>
            <w:r>
              <w:rPr>
                <w:rFonts w:cs="Times New Roman"/>
                <w:position w:val="6"/>
                <w:sz w:val="24"/>
                <w:szCs w:val="24"/>
                <w:lang w:val="lt-LT"/>
              </w:rPr>
              <w:t>(Parašas)</w:t>
            </w:r>
            <w:r>
              <w:rPr>
                <w:rFonts w:cs="Times New Roman"/>
                <w:i/>
                <w:sz w:val="24"/>
                <w:szCs w:val="24"/>
                <w:lang w:val="lt-LT"/>
              </w:rPr>
              <w:t xml:space="preserve"> </w:t>
            </w:r>
          </w:p>
        </w:tc>
        <w:tc>
          <w:tcPr>
            <w:tcW w:w="699" w:type="dxa"/>
            <w:tcBorders>
              <w:top w:val="single" w:sz="4" w:space="0" w:color="000001"/>
              <w:bottom w:val="single" w:sz="4" w:space="0" w:color="000001"/>
              <w:insideH w:val="single" w:sz="4" w:space="0" w:color="000001"/>
            </w:tcBorders>
            <w:shd w:fill="auto" w:val="clear"/>
          </w:tcPr>
          <w:p>
            <w:pPr>
              <w:pStyle w:val="Normal"/>
              <w:snapToGrid w:val="false"/>
              <w:ind w:left="0" w:right="-1" w:hanging="0"/>
              <w:jc w:val="both"/>
              <w:rPr>
                <w:rFonts w:cs="Times New Roman"/>
                <w:sz w:val="24"/>
                <w:szCs w:val="24"/>
                <w:lang w:val="lt-LT"/>
              </w:rPr>
            </w:pPr>
            <w:r>
              <w:rPr>
                <w:rFonts w:cs="Times New Roman"/>
                <w:sz w:val="24"/>
                <w:szCs w:val="24"/>
                <w:lang w:val="lt-LT"/>
              </w:rPr>
            </w:r>
          </w:p>
        </w:tc>
        <w:tc>
          <w:tcPr>
            <w:tcW w:w="2613" w:type="dxa"/>
            <w:tcBorders>
              <w:top w:val="single" w:sz="4" w:space="0" w:color="000001"/>
              <w:bottom w:val="single" w:sz="4" w:space="0" w:color="000001"/>
              <w:insideH w:val="single" w:sz="4" w:space="0" w:color="000001"/>
            </w:tcBorders>
            <w:shd w:fill="auto" w:val="clear"/>
          </w:tcPr>
          <w:p>
            <w:pPr>
              <w:pStyle w:val="Normal"/>
              <w:ind w:left="0" w:right="-1" w:hanging="0"/>
              <w:jc w:val="both"/>
              <w:rPr>
                <w:rFonts w:cs="Times New Roman"/>
                <w:sz w:val="24"/>
                <w:szCs w:val="24"/>
                <w:lang w:val="lt-LT"/>
              </w:rPr>
            </w:pPr>
            <w:r>
              <w:rPr>
                <w:rFonts w:cs="Times New Roman"/>
                <w:position w:val="6"/>
                <w:sz w:val="24"/>
                <w:szCs w:val="24"/>
                <w:lang w:val="lt-LT"/>
              </w:rPr>
              <w:t>(Vardas ir pavardė)</w:t>
            </w:r>
            <w:r>
              <w:rPr>
                <w:rFonts w:cs="Times New Roman"/>
                <w:i/>
                <w:sz w:val="24"/>
                <w:szCs w:val="24"/>
                <w:lang w:val="lt-LT"/>
              </w:rPr>
              <w:t xml:space="preserve"> </w:t>
            </w:r>
          </w:p>
        </w:tc>
        <w:tc>
          <w:tcPr>
            <w:tcW w:w="643" w:type="dxa"/>
            <w:tcBorders>
              <w:top w:val="single" w:sz="4" w:space="0" w:color="000001"/>
              <w:bottom w:val="single" w:sz="4" w:space="0" w:color="000001"/>
              <w:insideH w:val="single" w:sz="4" w:space="0" w:color="000001"/>
            </w:tcBorders>
            <w:shd w:fill="auto" w:val="clear"/>
          </w:tcPr>
          <w:p>
            <w:pPr>
              <w:pStyle w:val="Normal"/>
              <w:snapToGrid w:val="false"/>
              <w:ind w:left="0" w:right="-1" w:hanging="0"/>
              <w:jc w:val="both"/>
              <w:rPr>
                <w:rFonts w:cs="Times New Roman"/>
                <w:sz w:val="24"/>
                <w:szCs w:val="24"/>
                <w:lang w:val="lt-LT"/>
              </w:rPr>
            </w:pPr>
            <w:r>
              <w:rPr>
                <w:rFonts w:cs="Times New Roman"/>
                <w:sz w:val="24"/>
                <w:szCs w:val="24"/>
                <w:lang w:val="lt-LT"/>
              </w:rPr>
            </w:r>
          </w:p>
        </w:tc>
      </w:tr>
    </w:tbl>
    <w:p>
      <w:pPr>
        <w:pStyle w:val="Normal"/>
        <w:ind w:left="0" w:right="283" w:firstLine="720"/>
        <w:jc w:val="both"/>
        <w:rPr/>
      </w:pPr>
      <w:r>
        <w:rPr/>
      </w:r>
      <w:r>
        <w:br w:type="page"/>
      </w:r>
    </w:p>
    <w:p>
      <w:pPr>
        <w:pStyle w:val="Normal"/>
        <w:ind w:left="0" w:right="283" w:firstLine="720"/>
        <w:jc w:val="right"/>
        <w:rPr/>
      </w:pPr>
      <w:r>
        <w:rPr/>
        <w:t>4 predas</w:t>
      </w:r>
    </w:p>
    <w:p>
      <w:pPr>
        <w:pStyle w:val="Normal"/>
        <w:ind w:right="-178" w:hanging="0"/>
        <w:jc w:val="center"/>
        <w:rPr/>
      </w:pPr>
      <w:r>
        <w:rPr>
          <w:color w:val="000000"/>
          <w:sz w:val="20"/>
          <w:szCs w:val="20"/>
        </w:rPr>
        <w:t>Herbas arba prekių ženklas</w:t>
      </w:r>
    </w:p>
    <w:p>
      <w:pPr>
        <w:pStyle w:val="Normal"/>
        <w:ind w:right="-178" w:hanging="0"/>
        <w:jc w:val="center"/>
        <w:rPr/>
      </w:pPr>
      <w:r>
        <w:rPr>
          <w:color w:val="000000"/>
          <w:sz w:val="20"/>
          <w:szCs w:val="20"/>
        </w:rPr>
        <w:t>(Tiekėjo pavadinimas)</w:t>
      </w:r>
    </w:p>
    <w:p>
      <w:pPr>
        <w:pStyle w:val="Normal"/>
        <w:ind w:right="-178" w:hanging="0"/>
        <w:jc w:val="center"/>
        <w:rPr/>
      </w:pPr>
      <w:r>
        <w:rPr>
          <w:color w:val="000000"/>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pPr>
        <w:pStyle w:val="Normal"/>
        <w:jc w:val="both"/>
        <w:rPr/>
      </w:pPr>
      <w:r>
        <w:rPr>
          <w:color w:val="000000"/>
        </w:rPr>
        <w:t>__</w:t>
      </w:r>
      <w:r>
        <w:rPr>
          <w:color w:val="000000"/>
          <w:u w:val="single"/>
        </w:rPr>
        <w:t>Kauno marių regioninio parko direkcija</w:t>
      </w:r>
      <w:r>
        <w:rPr>
          <w:color w:val="000000"/>
        </w:rPr>
        <w:t>__________</w:t>
      </w:r>
    </w:p>
    <w:p>
      <w:pPr>
        <w:pStyle w:val="Normal"/>
        <w:tabs>
          <w:tab w:val="center" w:pos="2520" w:leader="none"/>
        </w:tabs>
        <w:jc w:val="both"/>
        <w:rPr/>
      </w:pPr>
      <w:r>
        <w:rPr>
          <w:color w:val="000000"/>
          <w:sz w:val="20"/>
          <w:szCs w:val="20"/>
        </w:rPr>
        <w:t>(Adresatas (perkančiosios organizacijos pavadinimas)</w:t>
      </w:r>
    </w:p>
    <w:p>
      <w:pPr>
        <w:pStyle w:val="Normal"/>
        <w:tabs>
          <w:tab w:val="center" w:pos="2520" w:leader="none"/>
        </w:tabs>
        <w:jc w:val="both"/>
        <w:rPr>
          <w:color w:val="000000"/>
          <w:sz w:val="20"/>
          <w:szCs w:val="20"/>
        </w:rPr>
      </w:pPr>
      <w:r>
        <w:rPr>
          <w:color w:val="000000"/>
          <w:sz w:val="20"/>
          <w:szCs w:val="20"/>
        </w:rPr>
      </w:r>
    </w:p>
    <w:p>
      <w:pPr>
        <w:pStyle w:val="Normal"/>
        <w:shd w:val="clear" w:color="auto" w:fill="FFFFFF"/>
        <w:jc w:val="center"/>
        <w:rPr/>
      </w:pPr>
      <w:r>
        <w:rPr>
          <w:b/>
          <w:bCs/>
          <w:color w:val="000000"/>
        </w:rPr>
        <w:t>MINIMALIŲ KVALIFIKACIJOS REIKALAVIMŲ ATITIKTIES DEKLARACIJA</w:t>
      </w:r>
    </w:p>
    <w:p>
      <w:pPr>
        <w:pStyle w:val="Normal"/>
        <w:shd w:val="clear" w:color="auto" w:fill="FFFFFF"/>
        <w:jc w:val="center"/>
        <w:rPr/>
      </w:pPr>
      <w:r>
        <w:rPr>
          <w:color w:val="000000"/>
        </w:rPr>
        <w:t>___________</w:t>
      </w:r>
      <w:r>
        <w:rPr>
          <w:bCs/>
          <w:color w:val="000000"/>
        </w:rPr>
        <w:t xml:space="preserve"> </w:t>
      </w:r>
      <w:r>
        <w:rPr>
          <w:color w:val="000000"/>
        </w:rPr>
        <w:t>Nr.______</w:t>
      </w:r>
    </w:p>
    <w:p>
      <w:pPr>
        <w:pStyle w:val="Normal"/>
        <w:shd w:val="clear" w:color="auto" w:fill="FFFFFF"/>
        <w:ind w:left="2592" w:firstLine="1296"/>
        <w:rPr/>
      </w:pPr>
      <w:r>
        <w:rPr>
          <w:bCs/>
          <w:color w:val="000000"/>
          <w:sz w:val="20"/>
          <w:szCs w:val="20"/>
        </w:rPr>
        <w:t>(data)</w:t>
      </w:r>
    </w:p>
    <w:p>
      <w:pPr>
        <w:pStyle w:val="Normal"/>
        <w:shd w:val="clear" w:color="auto" w:fill="FFFFFF"/>
        <w:jc w:val="center"/>
        <w:rPr/>
      </w:pPr>
      <w:r>
        <w:rPr>
          <w:bCs/>
          <w:color w:val="000000"/>
        </w:rPr>
        <w:t>_____________</w:t>
      </w:r>
    </w:p>
    <w:p>
      <w:pPr>
        <w:pStyle w:val="Normal"/>
        <w:shd w:val="clear" w:color="auto" w:fill="FFFFFF"/>
        <w:jc w:val="center"/>
        <w:rPr/>
      </w:pPr>
      <w:r>
        <w:rPr>
          <w:bCs/>
          <w:color w:val="000000"/>
          <w:sz w:val="20"/>
          <w:szCs w:val="20"/>
        </w:rPr>
        <w:t>(sudarymo vieta)</w:t>
      </w:r>
    </w:p>
    <w:tbl>
      <w:tblPr>
        <w:tblW w:w="9828" w:type="dxa"/>
        <w:jc w:val="left"/>
        <w:tblInd w:w="0" w:type="dxa"/>
        <w:tblBorders/>
        <w:tblCellMar>
          <w:top w:w="0" w:type="dxa"/>
          <w:left w:w="108" w:type="dxa"/>
          <w:bottom w:w="0" w:type="dxa"/>
          <w:right w:w="108" w:type="dxa"/>
        </w:tblCellMar>
        <w:tblLook w:val="0000" w:noVBand="0" w:noHBand="0" w:lastColumn="0" w:firstColumn="0" w:lastRow="0" w:firstRow="0"/>
      </w:tblPr>
      <w:tblGrid>
        <w:gridCol w:w="9828"/>
      </w:tblGrid>
      <w:tr>
        <w:trPr/>
        <w:tc>
          <w:tcPr>
            <w:tcW w:w="9828" w:type="dxa"/>
            <w:tcBorders/>
            <w:shd w:color="auto" w:fill="auto" w:val="clear"/>
          </w:tcPr>
          <w:p>
            <w:pPr>
              <w:pStyle w:val="Pagrindinistekstas"/>
              <w:shd w:val="clear" w:fill="FFFFFF"/>
              <w:ind w:left="0" w:right="-82" w:firstLine="900"/>
              <w:rPr/>
            </w:pPr>
            <w:r>
              <w:rPr>
                <w:rFonts w:cs="Times New Roman"/>
                <w:color w:val="000000"/>
                <w:szCs w:val="24"/>
                <w:lang w:val="lt-LT"/>
              </w:rPr>
              <w:t>Aš, ___________________________________________________________________ ,</w:t>
            </w:r>
          </w:p>
        </w:tc>
      </w:tr>
      <w:tr>
        <w:trPr/>
        <w:tc>
          <w:tcPr>
            <w:tcW w:w="9828" w:type="dxa"/>
            <w:tcBorders/>
            <w:shd w:color="auto" w:fill="auto" w:val="clear"/>
          </w:tcPr>
          <w:p>
            <w:pPr>
              <w:pStyle w:val="Pagrindinistekstas"/>
              <w:shd w:val="clear" w:fill="FFFFFF"/>
              <w:ind w:left="0" w:right="-82" w:hanging="0"/>
              <w:jc w:val="center"/>
              <w:rPr/>
            </w:pPr>
            <w:r>
              <w:rPr/>
              <w:t>(Tiekėjo vadovo ar jo įgalioto asmens pareigų pavadinimas, vardas ir pavardė)</w:t>
            </w:r>
          </w:p>
        </w:tc>
      </w:tr>
      <w:tr>
        <w:trPr/>
        <w:tc>
          <w:tcPr>
            <w:tcW w:w="9828" w:type="dxa"/>
            <w:tcBorders/>
            <w:shd w:color="auto" w:fill="auto" w:val="clear"/>
          </w:tcPr>
          <w:p>
            <w:pPr>
              <w:pStyle w:val="Pagrindinistekstas"/>
              <w:shd w:val="clear" w:fill="FFFFFF"/>
              <w:ind w:left="0" w:right="-82" w:hanging="0"/>
              <w:rPr/>
            </w:pPr>
            <w:r>
              <w:rPr>
                <w:rFonts w:cs="Times New Roman"/>
                <w:color w:val="000000"/>
                <w:szCs w:val="24"/>
                <w:lang w:val="lt-LT"/>
              </w:rPr>
              <w:t>tvirtinu, kad mano vadovaujamo (-os) (atstovaujamo (-os)_______________________________ ,</w:t>
            </w:r>
          </w:p>
        </w:tc>
      </w:tr>
      <w:tr>
        <w:trPr/>
        <w:tc>
          <w:tcPr>
            <w:tcW w:w="9828" w:type="dxa"/>
            <w:tcBorders/>
            <w:shd w:color="auto" w:fill="auto" w:val="clear"/>
          </w:tcPr>
          <w:p>
            <w:pPr>
              <w:pStyle w:val="Pagrindinistekstas"/>
              <w:shd w:val="clear" w:fill="FFFFFF"/>
              <w:ind w:left="0" w:right="-82" w:hanging="0"/>
              <w:jc w:val="center"/>
              <w:rPr/>
            </w:pPr>
            <w:r>
              <w:rPr/>
              <w:t xml:space="preserve"> </w:t>
            </w:r>
            <w:r>
              <w:rPr/>
              <w:t>(Tiekėjo pavadinimas)</w:t>
            </w:r>
          </w:p>
        </w:tc>
      </w:tr>
      <w:tr>
        <w:trPr/>
        <w:tc>
          <w:tcPr>
            <w:tcW w:w="9828" w:type="dxa"/>
            <w:tcBorders/>
            <w:shd w:color="auto" w:fill="auto" w:val="clear"/>
          </w:tcPr>
          <w:p>
            <w:pPr>
              <w:pStyle w:val="Pagrindinistekstas"/>
              <w:shd w:val="clear" w:fill="FFFFFF"/>
              <w:ind w:left="0" w:right="-82" w:hanging="0"/>
              <w:rPr/>
            </w:pPr>
            <w:r>
              <w:rPr>
                <w:rFonts w:cs="Times New Roman"/>
                <w:color w:val="000000"/>
                <w:szCs w:val="24"/>
                <w:lang w:val="lt-LT"/>
              </w:rPr>
              <w:t>dalyvaujančio (-ios) _Kauno marių regioninio parko direkcijos_____</w:t>
            </w:r>
          </w:p>
        </w:tc>
      </w:tr>
      <w:tr>
        <w:trPr/>
        <w:tc>
          <w:tcPr>
            <w:tcW w:w="9828" w:type="dxa"/>
            <w:tcBorders/>
            <w:shd w:color="auto" w:fill="auto" w:val="clear"/>
          </w:tcPr>
          <w:p>
            <w:pPr>
              <w:pStyle w:val="Pagrindinistekstas"/>
              <w:shd w:val="clear" w:fill="FFFFFF"/>
              <w:ind w:left="0" w:right="-82" w:hanging="0"/>
              <w:jc w:val="center"/>
              <w:rPr/>
            </w:pPr>
            <w:r>
              <w:rPr/>
              <w:t>(Perkančiosios organizacijos pavadinimas)</w:t>
            </w:r>
          </w:p>
        </w:tc>
      </w:tr>
      <w:tr>
        <w:trPr/>
        <w:tc>
          <w:tcPr>
            <w:tcW w:w="9828" w:type="dxa"/>
            <w:tcBorders/>
            <w:shd w:color="auto" w:fill="auto" w:val="clear"/>
          </w:tcPr>
          <w:p>
            <w:pPr>
              <w:pStyle w:val="Pagrindinistekstas"/>
              <w:shd w:val="clear" w:fill="FFFFFF"/>
              <w:ind w:left="0" w:right="-82" w:hanging="0"/>
              <w:rPr/>
            </w:pPr>
            <w:r>
              <w:rPr>
                <w:rFonts w:cs="Times New Roman"/>
                <w:color w:val="000000"/>
                <w:szCs w:val="24"/>
                <w:lang w:val="lt-LT"/>
              </w:rPr>
              <w:t xml:space="preserve">atliekamame </w:t>
            </w:r>
            <w:r>
              <w:rPr>
                <w:rFonts w:cs="Times New Roman"/>
                <w:color w:val="00000A"/>
                <w:sz w:val="24"/>
                <w:szCs w:val="24"/>
                <w:u w:val="none"/>
                <w:shd w:fill="FFFFFF" w:val="clear"/>
                <w:lang w:val="lt-LT" w:bidi="ar-SA"/>
              </w:rPr>
              <w:t>„</w:t>
            </w:r>
            <w:r>
              <w:rPr>
                <w:rFonts w:cs="Times New Roman"/>
                <w:color w:val="00000A"/>
                <w:sz w:val="24"/>
                <w:szCs w:val="24"/>
                <w:u w:val="single"/>
                <w:shd w:fill="FFFFFF" w:val="clear"/>
                <w:lang w:val="lt-LT" w:bidi="ar-SA"/>
              </w:rPr>
              <w:t>Natura 2000“ Kauno</w:t>
            </w:r>
            <w:r>
              <w:rPr>
                <w:rFonts w:cs="Times New Roman"/>
                <w:b w:val="false"/>
                <w:bCs w:val="false"/>
                <w:color w:val="00000A"/>
                <w:sz w:val="24"/>
                <w:szCs w:val="24"/>
                <w:u w:val="single"/>
                <w:shd w:fill="FFFFFF" w:val="clear"/>
                <w:lang w:val="lt-LT" w:bidi="ar-SA"/>
              </w:rPr>
              <w:t xml:space="preserve"> marių Arlaviškių ornitologinio draustinio (Paukščių salų) tvarkymo paslaugos</w:t>
            </w:r>
            <w:r>
              <w:rPr>
                <w:rFonts w:cs="Times New Roman"/>
                <w:color w:val="000000"/>
                <w:szCs w:val="24"/>
                <w:u w:val="single"/>
                <w:lang w:val="lt-LT"/>
              </w:rPr>
              <w:t>, mažos vertės skelbiamame pirkime apklausos būdu.</w:t>
            </w:r>
          </w:p>
        </w:tc>
      </w:tr>
      <w:tr>
        <w:trPr/>
        <w:tc>
          <w:tcPr>
            <w:tcW w:w="9828" w:type="dxa"/>
            <w:tcBorders/>
            <w:shd w:color="auto" w:fill="auto" w:val="clear"/>
          </w:tcPr>
          <w:p>
            <w:pPr>
              <w:pStyle w:val="Pagrindinistekstas"/>
              <w:shd w:val="clear" w:fill="FFFFFF"/>
              <w:ind w:left="0" w:right="-82" w:hanging="0"/>
              <w:jc w:val="center"/>
              <w:rPr/>
            </w:pPr>
            <w:r>
              <w:rPr/>
              <w:t>(Pirkimo objekto pavadinimas, pirkimo būdas)</w:t>
            </w:r>
          </w:p>
        </w:tc>
      </w:tr>
      <w:tr>
        <w:trPr/>
        <w:tc>
          <w:tcPr>
            <w:tcW w:w="9828" w:type="dxa"/>
            <w:tcBorders/>
            <w:shd w:color="auto" w:fill="auto" w:val="clear"/>
          </w:tcPr>
          <w:p>
            <w:pPr>
              <w:pStyle w:val="Pagrindinistekstas"/>
              <w:shd w:val="clear" w:fill="FFFFFF"/>
              <w:ind w:left="0" w:right="-82" w:hanging="0"/>
              <w:rPr/>
            </w:pPr>
            <w:r>
              <w:rPr/>
            </w:r>
          </w:p>
        </w:tc>
      </w:tr>
    </w:tbl>
    <w:p>
      <w:pPr>
        <w:pStyle w:val="Normal"/>
        <w:jc w:val="both"/>
        <w:rPr/>
      </w:pPr>
      <w:r>
        <w:rPr>
          <w:color w:val="000000"/>
          <w:sz w:val="20"/>
          <w:szCs w:val="20"/>
        </w:rPr>
        <w:t xml:space="preserve">kvalifikacijos duomenys yra tokie </w:t>
      </w:r>
      <w:r>
        <w:rPr>
          <w:i/>
          <w:color w:val="000000"/>
          <w:sz w:val="20"/>
          <w:szCs w:val="20"/>
        </w:rPr>
        <w:t xml:space="preserve">(tiekėjas nurodo atitikimą nurodytiems kvalifikacijos reikalavimams, pažymėdamas stulpeliuose „Taip“ arba „Ne“): </w:t>
      </w:r>
    </w:p>
    <w:p>
      <w:pPr>
        <w:pStyle w:val="Normal"/>
        <w:jc w:val="both"/>
        <w:rPr/>
      </w:pPr>
      <w:r>
        <w:rPr>
          <w:i/>
          <w:color w:val="000000"/>
          <w:sz w:val="20"/>
          <w:szCs w:val="20"/>
        </w:rPr>
        <w:t xml:space="preserve">(Perkančioji organizacija palieka tik tas eilutes, dėl kurių pirkimo dokumentuose kelia reikalavimus tiekėjams. Taip pat gali būti nustatyti ir kiti, papildomi kvalifikacijos reikalavimai) </w:t>
      </w:r>
    </w:p>
    <w:tbl>
      <w:tblPr>
        <w:tblW w:w="9719" w:type="dxa"/>
        <w:jc w:val="left"/>
        <w:tblInd w:w="22" w:type="dxa"/>
        <w:tblBorders>
          <w:top w:val="single" w:sz="4" w:space="0" w:color="000001"/>
          <w:left w:val="single" w:sz="4" w:space="0" w:color="000001"/>
          <w:bottom w:val="single" w:sz="4" w:space="0" w:color="000001"/>
          <w:insideH w:val="single" w:sz="4" w:space="0" w:color="000001"/>
        </w:tblBorders>
        <w:tblCellMar>
          <w:top w:w="0" w:type="dxa"/>
          <w:left w:w="18" w:type="dxa"/>
          <w:bottom w:w="0" w:type="dxa"/>
          <w:right w:w="108" w:type="dxa"/>
        </w:tblCellMar>
        <w:tblLook w:val="0000" w:noVBand="0" w:noHBand="0" w:lastColumn="0" w:firstColumn="0" w:lastRow="0" w:firstRow="0"/>
      </w:tblPr>
      <w:tblGrid>
        <w:gridCol w:w="899"/>
        <w:gridCol w:w="7322"/>
        <w:gridCol w:w="709"/>
        <w:gridCol w:w="788"/>
      </w:tblGrid>
      <w:tr>
        <w:trPr>
          <w:trHeight w:val="23" w:hRule="atLeast"/>
        </w:trPr>
        <w:tc>
          <w:tcPr>
            <w:tcW w:w="899" w:type="dxa"/>
            <w:tcBorders>
              <w:top w:val="single" w:sz="4" w:space="0" w:color="000001"/>
              <w:left w:val="single" w:sz="4" w:space="0" w:color="000001"/>
              <w:bottom w:val="single" w:sz="4" w:space="0" w:color="000001"/>
              <w:insideH w:val="single" w:sz="4" w:space="0" w:color="000001"/>
            </w:tcBorders>
            <w:shd w:color="auto" w:fill="auto" w:val="clear"/>
            <w:tcMar>
              <w:left w:w="18" w:type="dxa"/>
            </w:tcMar>
          </w:tcPr>
          <w:p>
            <w:pPr>
              <w:pStyle w:val="Normal"/>
              <w:jc w:val="both"/>
              <w:rPr/>
            </w:pPr>
            <w:r>
              <w:rPr>
                <w:color w:val="000000"/>
              </w:rPr>
              <w:t>Nr.</w:t>
            </w:r>
          </w:p>
        </w:tc>
        <w:tc>
          <w:tcPr>
            <w:tcW w:w="7322" w:type="dxa"/>
            <w:tcBorders>
              <w:top w:val="single" w:sz="4" w:space="0" w:color="000001"/>
              <w:left w:val="single" w:sz="4" w:space="0" w:color="000001"/>
              <w:bottom w:val="single" w:sz="4" w:space="0" w:color="000001"/>
              <w:insideH w:val="single" w:sz="4" w:space="0" w:color="000001"/>
            </w:tcBorders>
            <w:shd w:color="auto" w:fill="auto" w:val="clear"/>
            <w:tcMar>
              <w:left w:w="18" w:type="dxa"/>
            </w:tcMar>
          </w:tcPr>
          <w:p>
            <w:pPr>
              <w:pStyle w:val="Normal"/>
              <w:jc w:val="both"/>
              <w:rPr/>
            </w:pPr>
            <w:r>
              <w:rPr>
                <w:b/>
                <w:color w:val="000000"/>
              </w:rPr>
              <w:t>Bendrieji reikalavimai:</w:t>
            </w:r>
          </w:p>
        </w:tc>
        <w:tc>
          <w:tcPr>
            <w:tcW w:w="709" w:type="dxa"/>
            <w:tcBorders>
              <w:top w:val="single" w:sz="4" w:space="0" w:color="000001"/>
              <w:left w:val="single" w:sz="4" w:space="0" w:color="000001"/>
              <w:bottom w:val="single" w:sz="4" w:space="0" w:color="000001"/>
              <w:insideH w:val="single" w:sz="4" w:space="0" w:color="000001"/>
            </w:tcBorders>
            <w:shd w:color="auto" w:fill="auto" w:val="clear"/>
            <w:tcMar>
              <w:left w:w="18" w:type="dxa"/>
            </w:tcMar>
            <w:vAlign w:val="center"/>
          </w:tcPr>
          <w:p>
            <w:pPr>
              <w:pStyle w:val="Normal"/>
              <w:jc w:val="center"/>
              <w:rPr/>
            </w:pPr>
            <w:r>
              <w:rPr>
                <w:color w:val="000000"/>
              </w:rPr>
              <w:t>Taip</w:t>
            </w:r>
          </w:p>
        </w:tc>
        <w:tc>
          <w:tcPr>
            <w:tcW w:w="7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8" w:type="dxa"/>
            </w:tcMar>
            <w:vAlign w:val="center"/>
          </w:tcPr>
          <w:p>
            <w:pPr>
              <w:pStyle w:val="Normal"/>
              <w:jc w:val="center"/>
              <w:rPr/>
            </w:pPr>
            <w:r>
              <w:rPr>
                <w:color w:val="000000"/>
              </w:rPr>
              <w:t>Ne</w:t>
            </w:r>
          </w:p>
        </w:tc>
      </w:tr>
      <w:tr>
        <w:trPr>
          <w:trHeight w:val="23" w:hRule="atLeast"/>
        </w:trPr>
        <w:tc>
          <w:tcPr>
            <w:tcW w:w="899" w:type="dxa"/>
            <w:tcBorders>
              <w:top w:val="single" w:sz="4" w:space="0" w:color="000001"/>
              <w:left w:val="single" w:sz="4" w:space="0" w:color="000001"/>
              <w:bottom w:val="single" w:sz="4" w:space="0" w:color="000001"/>
              <w:insideH w:val="single" w:sz="4" w:space="0" w:color="000001"/>
            </w:tcBorders>
            <w:shd w:color="auto" w:fill="auto" w:val="clear"/>
            <w:tcMar>
              <w:left w:w="18" w:type="dxa"/>
            </w:tcMar>
          </w:tcPr>
          <w:p>
            <w:pPr>
              <w:pStyle w:val="Normal"/>
              <w:snapToGrid w:val="false"/>
              <w:jc w:val="both"/>
              <w:rPr/>
            </w:pPr>
            <w:r>
              <w:rPr>
                <w:color w:val="000000"/>
              </w:rPr>
              <w:t>5.1.1</w:t>
            </w:r>
          </w:p>
        </w:tc>
        <w:tc>
          <w:tcPr>
            <w:tcW w:w="7322" w:type="dxa"/>
            <w:tcBorders>
              <w:top w:val="single" w:sz="4" w:space="0" w:color="000001"/>
              <w:left w:val="single" w:sz="4" w:space="0" w:color="000001"/>
              <w:bottom w:val="single" w:sz="4" w:space="0" w:color="000001"/>
              <w:insideH w:val="single" w:sz="4" w:space="0" w:color="000001"/>
            </w:tcBorders>
            <w:shd w:color="auto" w:fill="auto" w:val="clear"/>
            <w:tcMar>
              <w:left w:w="18" w:type="dxa"/>
            </w:tcMar>
          </w:tcPr>
          <w:p>
            <w:pPr>
              <w:pStyle w:val="Normal"/>
              <w:snapToGrid w:val="false"/>
              <w:rPr/>
            </w:pPr>
            <w:r>
              <w:rPr>
                <w:color w:val="000000"/>
              </w:rPr>
              <w:t>Tiekėjas, kuris yra fizinis asmuo, arba tiekėjo, kuris yra juridinis asmuo, vadovas ar ūkinės bendrijos tikrasis narys (nariai), turintis (turintys) teisę juridinio asmens vardu sudaryti sandorį, ir buhalteris (buhalteriai) ar kitas (kiti) asmuo (asmenys), turintis (turintys) teisę surašyti ir pasirašyti tiekėjo apskaitos dokumentus, neturi teistumo (arba teistumas yra išnykęs ar panaikintas), dėl tiekėjo (juridinio asmens) per pastaruosius 5 metus nebuvo priimtas ir įsiteisėjęs apkaltinamasis teismo nuosprendis už dalyvavimą nusikalstamame susivienijime, jo organizavimą ar vadovavimą jam, už kyšininkavimą, tarpininko kyšininkavimą, papirkimą, sukčiavimą, kredito, paskolos ar tikslinės paramos panaudojimą ne pagal paskirtį ar nustatytą tvarką, kreditinį sukčiavimą, mokesčių nesumokėjimą, neteisingų duomenų apie pajamas, pelną ar turtą pateikimą, deklaracijos, ataskaitos ar kito dokumento nepateikimą, nusikalstamu būdu gauto turto įgijimą ar realizavimą, nusikalstamu būdu įgytų pinigų ar turto legalizavimą. Dėl tiekėjo iš kitos valstybės nėra priimtas ir įsiteisėjęs apkaltinamasis teismo nuosprendis už 2004 m. kovo 31 d. Europos Parlamento ir Tarybos direktyvos 2004/18/EB dėl viešojo darbų, prekių ir paslaugų pirkimo sutarčių sudarymo tvarkos derinimo 45 straipsnio 1 dalyje išvardytuose Europos Sąjungos teisės aktuose apibrėžtus nusikaltimus.</w:t>
            </w:r>
          </w:p>
          <w:p>
            <w:pPr>
              <w:pStyle w:val="Normal"/>
              <w:snapToGrid w:val="false"/>
              <w:rPr/>
            </w:pPr>
            <w:r>
              <w:rPr>
                <w:color w:val="000000"/>
              </w:rPr>
              <w:t>Reikalavimas privalomas.</w:t>
            </w:r>
          </w:p>
        </w:tc>
        <w:tc>
          <w:tcPr>
            <w:tcW w:w="709" w:type="dxa"/>
            <w:tcBorders>
              <w:top w:val="single" w:sz="4" w:space="0" w:color="000001"/>
              <w:left w:val="single" w:sz="4" w:space="0" w:color="000001"/>
              <w:bottom w:val="single" w:sz="4" w:space="0" w:color="000001"/>
              <w:insideH w:val="single" w:sz="4" w:space="0" w:color="000001"/>
            </w:tcBorders>
            <w:shd w:color="auto" w:fill="auto" w:val="clear"/>
            <w:tcMar>
              <w:left w:w="18" w:type="dxa"/>
            </w:tcMar>
          </w:tcPr>
          <w:p>
            <w:pPr>
              <w:pStyle w:val="Normal"/>
              <w:snapToGrid w:val="false"/>
              <w:jc w:val="both"/>
              <w:rPr/>
            </w:pPr>
            <w:r>
              <w:rPr/>
            </w:r>
          </w:p>
        </w:tc>
        <w:tc>
          <w:tcPr>
            <w:tcW w:w="7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8" w:type="dxa"/>
            </w:tcMar>
          </w:tcPr>
          <w:p>
            <w:pPr>
              <w:pStyle w:val="Normal"/>
              <w:snapToGrid w:val="false"/>
              <w:jc w:val="both"/>
              <w:rPr/>
            </w:pPr>
            <w:r>
              <w:rPr/>
            </w:r>
          </w:p>
        </w:tc>
      </w:tr>
      <w:tr>
        <w:trPr>
          <w:trHeight w:val="23" w:hRule="atLeast"/>
        </w:trPr>
        <w:tc>
          <w:tcPr>
            <w:tcW w:w="899" w:type="dxa"/>
            <w:tcBorders>
              <w:top w:val="single" w:sz="4" w:space="0" w:color="000001"/>
              <w:left w:val="single" w:sz="4" w:space="0" w:color="000001"/>
              <w:bottom w:val="single" w:sz="4" w:space="0" w:color="000001"/>
              <w:insideH w:val="single" w:sz="4" w:space="0" w:color="000001"/>
            </w:tcBorders>
            <w:shd w:color="auto" w:fill="auto" w:val="clear"/>
            <w:tcMar>
              <w:left w:w="18" w:type="dxa"/>
            </w:tcMar>
          </w:tcPr>
          <w:p>
            <w:pPr>
              <w:pStyle w:val="Normal"/>
              <w:shd w:val="clear" w:color="auto" w:fill="FFFFFF"/>
              <w:jc w:val="both"/>
              <w:rPr/>
            </w:pPr>
            <w:r>
              <w:rPr>
                <w:color w:val="000000"/>
              </w:rPr>
              <w:t>5.1.2</w:t>
            </w:r>
          </w:p>
        </w:tc>
        <w:tc>
          <w:tcPr>
            <w:tcW w:w="7322" w:type="dxa"/>
            <w:tcBorders>
              <w:top w:val="single" w:sz="4" w:space="0" w:color="000001"/>
              <w:left w:val="single" w:sz="4" w:space="0" w:color="000001"/>
              <w:bottom w:val="single" w:sz="4" w:space="0" w:color="000001"/>
              <w:insideH w:val="single" w:sz="4" w:space="0" w:color="000001"/>
            </w:tcBorders>
            <w:shd w:color="auto" w:fill="auto" w:val="clear"/>
            <w:tcMar>
              <w:left w:w="18" w:type="dxa"/>
            </w:tcMar>
          </w:tcPr>
          <w:p>
            <w:pPr>
              <w:pStyle w:val="Normal"/>
              <w:rPr/>
            </w:pPr>
            <w:r>
              <w:rPr/>
              <w:t xml:space="preserve">Tiekėjas nėra bankrutavęs, likviduojamas, su kreditoriais sudaręs taikos sutarties, sustabdęs ar apribojęs savo veiklos arba jo padėtis pagal šalies, kurioje jis registruotas, įstatymus nėra tokia pati ar panaši. Jam nėra iškelta restruktūrizavimo, bankroto byla arba nėra vykdomas bankroto procesas ne teismo tvarka, nėra inicijuotos priverstinio likvidavimo procedūros ar susitarimo su kreditoriais arba jam nėra vykdomos analogiškos procedūros pagal šalies, kurioje jis registruotas, įstatymus. </w:t>
            </w:r>
          </w:p>
        </w:tc>
        <w:tc>
          <w:tcPr>
            <w:tcW w:w="709" w:type="dxa"/>
            <w:tcBorders>
              <w:top w:val="single" w:sz="4" w:space="0" w:color="000001"/>
              <w:left w:val="single" w:sz="4" w:space="0" w:color="000001"/>
              <w:bottom w:val="single" w:sz="4" w:space="0" w:color="000001"/>
              <w:insideH w:val="single" w:sz="4" w:space="0" w:color="000001"/>
            </w:tcBorders>
            <w:shd w:color="auto" w:fill="auto" w:val="clear"/>
            <w:tcMar>
              <w:left w:w="18" w:type="dxa"/>
            </w:tcMar>
          </w:tcPr>
          <w:p>
            <w:pPr>
              <w:pStyle w:val="Normal"/>
              <w:shd w:val="clear" w:color="auto" w:fill="FFFFFF"/>
              <w:snapToGrid w:val="false"/>
              <w:jc w:val="both"/>
              <w:rPr/>
            </w:pPr>
            <w:r>
              <w:rPr/>
            </w:r>
          </w:p>
        </w:tc>
        <w:tc>
          <w:tcPr>
            <w:tcW w:w="7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8" w:type="dxa"/>
            </w:tcMar>
          </w:tcPr>
          <w:p>
            <w:pPr>
              <w:pStyle w:val="Normal"/>
              <w:shd w:val="clear" w:color="auto" w:fill="FFFFFF"/>
              <w:snapToGrid w:val="false"/>
              <w:jc w:val="both"/>
              <w:rPr/>
            </w:pPr>
            <w:r>
              <w:rPr/>
            </w:r>
          </w:p>
        </w:tc>
      </w:tr>
      <w:tr>
        <w:trPr>
          <w:trHeight w:val="23" w:hRule="atLeast"/>
        </w:trPr>
        <w:tc>
          <w:tcPr>
            <w:tcW w:w="899" w:type="dxa"/>
            <w:tcBorders>
              <w:top w:val="single" w:sz="4" w:space="0" w:color="000001"/>
              <w:left w:val="single" w:sz="4" w:space="0" w:color="000001"/>
              <w:bottom w:val="single" w:sz="4" w:space="0" w:color="000001"/>
              <w:insideH w:val="single" w:sz="4" w:space="0" w:color="000001"/>
            </w:tcBorders>
            <w:shd w:color="auto" w:fill="auto" w:val="clear"/>
            <w:tcMar>
              <w:left w:w="18" w:type="dxa"/>
            </w:tcMar>
          </w:tcPr>
          <w:p>
            <w:pPr>
              <w:pStyle w:val="Normal"/>
              <w:shd w:val="clear" w:color="auto" w:fill="FFFFFF"/>
              <w:jc w:val="both"/>
              <w:rPr/>
            </w:pPr>
            <w:r>
              <w:rPr>
                <w:color w:val="000000"/>
              </w:rPr>
              <w:t>5.1.3</w:t>
            </w:r>
          </w:p>
        </w:tc>
        <w:tc>
          <w:tcPr>
            <w:tcW w:w="7322" w:type="dxa"/>
            <w:tcBorders>
              <w:top w:val="single" w:sz="4" w:space="0" w:color="000001"/>
              <w:left w:val="single" w:sz="4" w:space="0" w:color="000001"/>
              <w:bottom w:val="single" w:sz="4" w:space="0" w:color="000001"/>
              <w:insideH w:val="single" w:sz="4" w:space="0" w:color="000001"/>
            </w:tcBorders>
            <w:shd w:color="auto" w:fill="auto" w:val="clear"/>
            <w:tcMar>
              <w:left w:w="18" w:type="dxa"/>
            </w:tcMar>
          </w:tcPr>
          <w:p>
            <w:pPr>
              <w:pStyle w:val="Point1"/>
              <w:spacing w:before="0" w:after="0"/>
              <w:ind w:left="0" w:hanging="0"/>
              <w:rPr/>
            </w:pPr>
            <w:r>
              <w:rPr>
                <w:lang w:val="lt-LT"/>
              </w:rPr>
              <w:t>Tiekėjas (fizinis asmuo) neturi teistumo (arba teistumas yra išnykęs ar panaikintas), dėl tiekėjo (juridinio asmens) per pastaruosius 5 (penkis) metus nebuvo priimtas ir įsiteisėjęs ap</w:t>
            </w:r>
            <w:r>
              <w:rPr>
                <w:bCs/>
                <w:color w:val="000000"/>
                <w:lang w:val="lt-LT"/>
              </w:rPr>
              <w:t>kaltinamasis teismo nuosprendis už nusikalstamas veikas nuosavybei, turtinėms teisėms ir turtiniams interesams, intelektinei ar pramoninei nuosavybei, ekonomikai ir verslo tvarkai, finansų sistemai, valstybės tarnybai ir viešiesiems interesams, išskyrus šios lentelės 1 punkte išvardytas veikas.</w:t>
            </w:r>
          </w:p>
        </w:tc>
        <w:tc>
          <w:tcPr>
            <w:tcW w:w="709" w:type="dxa"/>
            <w:tcBorders>
              <w:top w:val="single" w:sz="4" w:space="0" w:color="000001"/>
              <w:left w:val="single" w:sz="4" w:space="0" w:color="000001"/>
              <w:bottom w:val="single" w:sz="4" w:space="0" w:color="000001"/>
              <w:insideH w:val="single" w:sz="4" w:space="0" w:color="000001"/>
            </w:tcBorders>
            <w:shd w:color="auto" w:fill="auto" w:val="clear"/>
            <w:tcMar>
              <w:left w:w="18" w:type="dxa"/>
            </w:tcMar>
          </w:tcPr>
          <w:p>
            <w:pPr>
              <w:pStyle w:val="Normal"/>
              <w:shd w:val="clear" w:color="auto" w:fill="FFFFFF"/>
              <w:snapToGrid w:val="false"/>
              <w:jc w:val="both"/>
              <w:rPr/>
            </w:pPr>
            <w:r>
              <w:rPr/>
            </w:r>
          </w:p>
        </w:tc>
        <w:tc>
          <w:tcPr>
            <w:tcW w:w="7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8" w:type="dxa"/>
            </w:tcMar>
          </w:tcPr>
          <w:p>
            <w:pPr>
              <w:pStyle w:val="Normal"/>
              <w:shd w:val="clear" w:color="auto" w:fill="FFFFFF"/>
              <w:snapToGrid w:val="false"/>
              <w:jc w:val="both"/>
              <w:rPr/>
            </w:pPr>
            <w:r>
              <w:rPr/>
            </w:r>
          </w:p>
        </w:tc>
      </w:tr>
      <w:tr>
        <w:trPr>
          <w:trHeight w:val="23" w:hRule="atLeast"/>
        </w:trPr>
        <w:tc>
          <w:tcPr>
            <w:tcW w:w="899" w:type="dxa"/>
            <w:tcBorders>
              <w:top w:val="single" w:sz="4" w:space="0" w:color="000001"/>
              <w:left w:val="single" w:sz="4" w:space="0" w:color="000001"/>
              <w:bottom w:val="single" w:sz="4" w:space="0" w:color="000001"/>
              <w:insideH w:val="single" w:sz="4" w:space="0" w:color="000001"/>
            </w:tcBorders>
            <w:shd w:color="auto" w:fill="auto" w:val="clear"/>
            <w:tcMar>
              <w:left w:w="18" w:type="dxa"/>
            </w:tcMar>
          </w:tcPr>
          <w:p>
            <w:pPr>
              <w:pStyle w:val="Point1"/>
              <w:spacing w:before="0" w:after="0"/>
              <w:ind w:left="0" w:hanging="0"/>
              <w:rPr/>
            </w:pPr>
            <w:r>
              <w:rPr>
                <w:rFonts w:cs="Times New Roman"/>
                <w:color w:val="000000"/>
                <w:lang w:val="lt-LT"/>
              </w:rPr>
              <w:t>5.1.</w:t>
            </w:r>
            <w:r>
              <w:rPr>
                <w:lang w:val="lt-LT"/>
              </w:rPr>
              <w:t>4</w:t>
            </w:r>
          </w:p>
        </w:tc>
        <w:tc>
          <w:tcPr>
            <w:tcW w:w="7322" w:type="dxa"/>
            <w:tcBorders>
              <w:top w:val="single" w:sz="4" w:space="0" w:color="000001"/>
              <w:left w:val="single" w:sz="4" w:space="0" w:color="000001"/>
              <w:bottom w:val="single" w:sz="4" w:space="0" w:color="000001"/>
              <w:insideH w:val="single" w:sz="4" w:space="0" w:color="000001"/>
            </w:tcBorders>
            <w:shd w:color="auto" w:fill="auto" w:val="clear"/>
            <w:tcMar>
              <w:left w:w="18" w:type="dxa"/>
            </w:tcMar>
          </w:tcPr>
          <w:p>
            <w:pPr>
              <w:pStyle w:val="Point1"/>
              <w:spacing w:before="0" w:after="0"/>
              <w:ind w:left="0" w:hanging="0"/>
              <w:rPr/>
            </w:pPr>
            <w:r>
              <w:rPr>
                <w:lang w:val="lt-LT"/>
              </w:rPr>
              <w:t xml:space="preserve">Tiekėjas yra įvykdęs įsipareigojimus, susijusius su mokesčių mokėjimu. </w:t>
            </w:r>
          </w:p>
        </w:tc>
        <w:tc>
          <w:tcPr>
            <w:tcW w:w="709" w:type="dxa"/>
            <w:tcBorders>
              <w:top w:val="single" w:sz="4" w:space="0" w:color="000001"/>
              <w:left w:val="single" w:sz="4" w:space="0" w:color="000001"/>
              <w:bottom w:val="single" w:sz="4" w:space="0" w:color="000001"/>
              <w:insideH w:val="single" w:sz="4" w:space="0" w:color="000001"/>
            </w:tcBorders>
            <w:shd w:color="auto" w:fill="auto" w:val="clear"/>
            <w:tcMar>
              <w:left w:w="18" w:type="dxa"/>
            </w:tcMar>
          </w:tcPr>
          <w:p>
            <w:pPr>
              <w:pStyle w:val="Normal"/>
              <w:snapToGrid w:val="false"/>
              <w:jc w:val="both"/>
              <w:rPr/>
            </w:pPr>
            <w:r>
              <w:rPr/>
            </w:r>
          </w:p>
        </w:tc>
        <w:tc>
          <w:tcPr>
            <w:tcW w:w="7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8" w:type="dxa"/>
            </w:tcMar>
          </w:tcPr>
          <w:p>
            <w:pPr>
              <w:pStyle w:val="Normal"/>
              <w:snapToGrid w:val="false"/>
              <w:jc w:val="both"/>
              <w:rPr/>
            </w:pPr>
            <w:r>
              <w:rPr/>
            </w:r>
          </w:p>
        </w:tc>
      </w:tr>
      <w:tr>
        <w:trPr>
          <w:trHeight w:val="23" w:hRule="atLeast"/>
        </w:trPr>
        <w:tc>
          <w:tcPr>
            <w:tcW w:w="899" w:type="dxa"/>
            <w:tcBorders>
              <w:top w:val="single" w:sz="4" w:space="0" w:color="000001"/>
              <w:left w:val="single" w:sz="4" w:space="0" w:color="000001"/>
              <w:bottom w:val="single" w:sz="4" w:space="0" w:color="000001"/>
              <w:insideH w:val="single" w:sz="4" w:space="0" w:color="000001"/>
            </w:tcBorders>
            <w:shd w:color="auto" w:fill="auto" w:val="clear"/>
            <w:tcMar>
              <w:left w:w="18" w:type="dxa"/>
            </w:tcMar>
          </w:tcPr>
          <w:p>
            <w:pPr>
              <w:pStyle w:val="Point1"/>
              <w:spacing w:before="0" w:after="0"/>
              <w:ind w:left="0" w:hanging="0"/>
              <w:rPr/>
            </w:pPr>
            <w:r>
              <w:rPr>
                <w:rFonts w:cs="Times New Roman"/>
                <w:color w:val="000000"/>
                <w:lang w:val="lt-LT"/>
              </w:rPr>
              <w:t>5.1</w:t>
            </w:r>
            <w:r>
              <w:rPr>
                <w:rFonts w:cs="Times New Roman"/>
                <w:lang w:val="lt-LT"/>
              </w:rPr>
              <w:t>.</w:t>
            </w:r>
            <w:r>
              <w:rPr>
                <w:lang w:val="lt-LT"/>
              </w:rPr>
              <w:t>5</w:t>
            </w:r>
          </w:p>
        </w:tc>
        <w:tc>
          <w:tcPr>
            <w:tcW w:w="7322" w:type="dxa"/>
            <w:tcBorders>
              <w:top w:val="single" w:sz="4" w:space="0" w:color="000001"/>
              <w:left w:val="single" w:sz="4" w:space="0" w:color="000001"/>
              <w:bottom w:val="single" w:sz="4" w:space="0" w:color="000001"/>
              <w:insideH w:val="single" w:sz="4" w:space="0" w:color="000001"/>
            </w:tcBorders>
            <w:shd w:color="auto" w:fill="auto" w:val="clear"/>
            <w:tcMar>
              <w:left w:w="18" w:type="dxa"/>
            </w:tcMar>
          </w:tcPr>
          <w:p>
            <w:pPr>
              <w:pStyle w:val="Point1"/>
              <w:spacing w:before="0" w:after="0"/>
              <w:ind w:left="0" w:hanging="0"/>
              <w:rPr/>
            </w:pPr>
            <w:r>
              <w:rPr>
                <w:lang w:val="lt-LT"/>
              </w:rPr>
              <w:t>Tiekėjas yra įvykdęs įsipareigojimus, susijusius su socialinio draudimo įmokų mokėjimu.</w:t>
            </w:r>
          </w:p>
        </w:tc>
        <w:tc>
          <w:tcPr>
            <w:tcW w:w="709" w:type="dxa"/>
            <w:tcBorders>
              <w:top w:val="single" w:sz="4" w:space="0" w:color="000001"/>
              <w:left w:val="single" w:sz="4" w:space="0" w:color="000001"/>
              <w:bottom w:val="single" w:sz="4" w:space="0" w:color="000001"/>
              <w:insideH w:val="single" w:sz="4" w:space="0" w:color="000001"/>
            </w:tcBorders>
            <w:shd w:color="auto" w:fill="auto" w:val="clear"/>
            <w:tcMar>
              <w:left w:w="18" w:type="dxa"/>
            </w:tcMar>
          </w:tcPr>
          <w:p>
            <w:pPr>
              <w:pStyle w:val="Normal"/>
              <w:shd w:val="clear" w:color="auto" w:fill="FFFFFF"/>
              <w:snapToGrid w:val="false"/>
              <w:jc w:val="both"/>
              <w:rPr/>
            </w:pPr>
            <w:r>
              <w:rPr/>
            </w:r>
          </w:p>
        </w:tc>
        <w:tc>
          <w:tcPr>
            <w:tcW w:w="7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8" w:type="dxa"/>
            </w:tcMar>
          </w:tcPr>
          <w:p>
            <w:pPr>
              <w:pStyle w:val="Normal"/>
              <w:shd w:val="clear" w:color="auto" w:fill="FFFFFF"/>
              <w:snapToGrid w:val="false"/>
              <w:jc w:val="both"/>
              <w:rPr/>
            </w:pPr>
            <w:r>
              <w:rPr/>
            </w:r>
          </w:p>
        </w:tc>
      </w:tr>
      <w:tr>
        <w:trPr>
          <w:trHeight w:val="23" w:hRule="atLeast"/>
        </w:trPr>
        <w:tc>
          <w:tcPr>
            <w:tcW w:w="899" w:type="dxa"/>
            <w:tcBorders>
              <w:top w:val="single" w:sz="4" w:space="0" w:color="000001"/>
              <w:left w:val="single" w:sz="4" w:space="0" w:color="000001"/>
              <w:bottom w:val="single" w:sz="4" w:space="0" w:color="000001"/>
              <w:insideH w:val="single" w:sz="4" w:space="0" w:color="000001"/>
            </w:tcBorders>
            <w:shd w:color="auto" w:fill="auto" w:val="clear"/>
            <w:tcMar>
              <w:left w:w="18" w:type="dxa"/>
            </w:tcMar>
          </w:tcPr>
          <w:p>
            <w:pPr>
              <w:pStyle w:val="Point1"/>
              <w:spacing w:before="0" w:after="0"/>
              <w:ind w:left="0" w:hanging="0"/>
              <w:rPr/>
            </w:pPr>
            <w:r>
              <w:rPr>
                <w:rFonts w:cs="Times New Roman"/>
                <w:color w:val="000000"/>
                <w:lang w:val="lt-LT"/>
              </w:rPr>
              <w:t>5.1.</w:t>
            </w:r>
            <w:r>
              <w:rPr>
                <w:rFonts w:cs="Times New Roman"/>
                <w:lang w:val="lt-LT"/>
              </w:rPr>
              <w:t>6</w:t>
            </w:r>
          </w:p>
        </w:tc>
        <w:tc>
          <w:tcPr>
            <w:tcW w:w="7322" w:type="dxa"/>
            <w:tcBorders>
              <w:top w:val="single" w:sz="4" w:space="0" w:color="000001"/>
              <w:left w:val="single" w:sz="4" w:space="0" w:color="000001"/>
              <w:bottom w:val="single" w:sz="4" w:space="0" w:color="000001"/>
              <w:insideH w:val="single" w:sz="4" w:space="0" w:color="000001"/>
            </w:tcBorders>
            <w:shd w:color="auto" w:fill="auto" w:val="clear"/>
            <w:tcMar>
              <w:left w:w="18" w:type="dxa"/>
            </w:tcMar>
          </w:tcPr>
          <w:p>
            <w:pPr>
              <w:pStyle w:val="Point1"/>
              <w:spacing w:before="0" w:after="0"/>
              <w:ind w:left="0" w:hanging="0"/>
              <w:rPr/>
            </w:pPr>
            <w:r>
              <w:rPr>
                <w:lang w:val="lt-LT"/>
              </w:rPr>
              <w:t xml:space="preserve">Tiekėjas yra įregistruotas įstatymų nustatyta tvarka ir turi teisę verstis ta ūkine veikla, kuri reikalinga pirkimo sutarčiai vykdyti. </w:t>
            </w:r>
          </w:p>
          <w:p>
            <w:pPr>
              <w:pStyle w:val="Point1"/>
              <w:spacing w:before="0" w:after="0"/>
              <w:ind w:left="0" w:hanging="0"/>
              <w:rPr/>
            </w:pPr>
            <w:r>
              <w:rPr>
                <w:lang w:val="lt-LT"/>
              </w:rPr>
              <w:t>Reikalavimas privalomas.</w:t>
            </w:r>
          </w:p>
        </w:tc>
        <w:tc>
          <w:tcPr>
            <w:tcW w:w="709" w:type="dxa"/>
            <w:tcBorders>
              <w:top w:val="single" w:sz="4" w:space="0" w:color="000001"/>
              <w:left w:val="single" w:sz="4" w:space="0" w:color="000001"/>
              <w:bottom w:val="single" w:sz="4" w:space="0" w:color="000001"/>
              <w:insideH w:val="single" w:sz="4" w:space="0" w:color="000001"/>
            </w:tcBorders>
            <w:shd w:color="auto" w:fill="auto" w:val="clear"/>
            <w:tcMar>
              <w:left w:w="18" w:type="dxa"/>
            </w:tcMar>
          </w:tcPr>
          <w:p>
            <w:pPr>
              <w:pStyle w:val="Normal"/>
              <w:shd w:val="clear" w:color="auto" w:fill="FFFFFF"/>
              <w:snapToGrid w:val="false"/>
              <w:jc w:val="both"/>
              <w:rPr/>
            </w:pPr>
            <w:r>
              <w:rPr/>
            </w:r>
          </w:p>
        </w:tc>
        <w:tc>
          <w:tcPr>
            <w:tcW w:w="7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8" w:type="dxa"/>
            </w:tcMar>
          </w:tcPr>
          <w:p>
            <w:pPr>
              <w:pStyle w:val="Normal"/>
              <w:shd w:val="clear" w:color="auto" w:fill="FFFFFF"/>
              <w:snapToGrid w:val="false"/>
              <w:jc w:val="both"/>
              <w:rPr/>
            </w:pPr>
            <w:r>
              <w:rPr/>
            </w:r>
          </w:p>
        </w:tc>
      </w:tr>
    </w:tbl>
    <w:p>
      <w:pPr>
        <w:pStyle w:val="Normal"/>
        <w:ind w:firstLine="720"/>
        <w:jc w:val="both"/>
        <w:rPr/>
      </w:pPr>
      <w:r>
        <w:rPr>
          <w:b/>
          <w:i/>
          <w:color w:val="000000"/>
        </w:rPr>
        <w:t>Pastaba.</w:t>
      </w:r>
      <w:r>
        <w:rPr>
          <w:i/>
          <w:color w:val="000000"/>
        </w:rPr>
        <w:t xml:space="preserve"> </w:t>
      </w:r>
      <w:r>
        <w:rPr>
          <w:i/>
          <w:color w:val="000000"/>
          <w:sz w:val="20"/>
          <w:szCs w:val="20"/>
        </w:rPr>
        <w:t>Į lentelės grafas įrašomi reikalavimai, nurodyti pirkimo dokumentuose. Nurodytų reikalavimų reikšmės aiškinamos pagal pirkimo dokumentuose nustatytas sąlygas.</w:t>
      </w:r>
    </w:p>
    <w:p>
      <w:pPr>
        <w:pStyle w:val="Normal"/>
        <w:ind w:firstLine="720"/>
        <w:jc w:val="both"/>
        <w:rPr/>
      </w:pPr>
      <w:r>
        <w:rPr>
          <w:color w:val="000000"/>
        </w:rPr>
        <w:t xml:space="preserve">Man žinoma, kad, jeigu perkančioji organizacija nustatytų, jog pateikti duomenys yra neteisingi, pateiktas pasiūlymas bus nenagrinėjamas ir atmestas. </w:t>
      </w:r>
    </w:p>
    <w:p>
      <w:pPr>
        <w:pStyle w:val="Normal"/>
        <w:shd w:val="clear" w:color="auto" w:fill="FFFFFF"/>
        <w:jc w:val="both"/>
        <w:rPr/>
      </w:pPr>
      <w:r>
        <w:rPr>
          <w:color w:val="000000"/>
        </w:rPr>
        <w:tab/>
        <w:t>Jei pagal vertinimo rezultatus pasiūlymas galės būti pripažintas laimėjusiu (iki pasiūlymų eilės nustatymo), pateiksiu perkančiosios organizacijos nurodytus atitiktį minimaliems kvalifikacijos reikalavimams patvirtinančius dokumentus (patvirtinantys dokumentai nurodyti konkurso sąlygų 5.1.1 – 5.1.6 punktuose)</w:t>
      </w:r>
    </w:p>
    <w:tbl>
      <w:tblPr>
        <w:tblW w:w="9828" w:type="dxa"/>
        <w:jc w:val="left"/>
        <w:tblInd w:w="0" w:type="dxa"/>
        <w:tblBorders>
          <w:bottom w:val="single" w:sz="4" w:space="0" w:color="000001"/>
          <w:insideH w:val="single" w:sz="4" w:space="0" w:color="000001"/>
        </w:tblBorders>
        <w:tblCellMar>
          <w:top w:w="0" w:type="dxa"/>
          <w:left w:w="108" w:type="dxa"/>
          <w:bottom w:w="0" w:type="dxa"/>
          <w:right w:w="108" w:type="dxa"/>
        </w:tblCellMar>
        <w:tblLook w:val="0000" w:noVBand="0" w:noHBand="0" w:lastColumn="0" w:firstColumn="0" w:lastRow="0" w:firstRow="0"/>
      </w:tblPr>
      <w:tblGrid>
        <w:gridCol w:w="3284"/>
        <w:gridCol w:w="603"/>
        <w:gridCol w:w="1997"/>
        <w:gridCol w:w="687"/>
        <w:gridCol w:w="2625"/>
        <w:gridCol w:w="631"/>
      </w:tblGrid>
      <w:tr>
        <w:trPr>
          <w:trHeight w:val="285" w:hRule="atLeast"/>
        </w:trPr>
        <w:tc>
          <w:tcPr>
            <w:tcW w:w="3284" w:type="dxa"/>
            <w:tcBorders>
              <w:bottom w:val="single" w:sz="4" w:space="0" w:color="000001"/>
              <w:insideH w:val="single" w:sz="4" w:space="0" w:color="000001"/>
            </w:tcBorders>
            <w:shd w:color="auto" w:fill="auto" w:val="clear"/>
          </w:tcPr>
          <w:p>
            <w:pPr>
              <w:pStyle w:val="Normal"/>
              <w:snapToGrid w:val="false"/>
              <w:ind w:right="-1" w:hanging="0"/>
              <w:rPr>
                <w:sz w:val="20"/>
                <w:szCs w:val="20"/>
              </w:rPr>
            </w:pPr>
            <w:r>
              <w:rPr>
                <w:sz w:val="20"/>
                <w:szCs w:val="20"/>
              </w:rPr>
            </w:r>
          </w:p>
        </w:tc>
        <w:tc>
          <w:tcPr>
            <w:tcW w:w="603" w:type="dxa"/>
            <w:tcBorders>
              <w:bottom w:val="single" w:sz="4" w:space="0" w:color="000001"/>
              <w:insideH w:val="single" w:sz="4" w:space="0" w:color="000001"/>
            </w:tcBorders>
            <w:shd w:color="auto" w:fill="auto" w:val="clear"/>
          </w:tcPr>
          <w:p>
            <w:pPr>
              <w:pStyle w:val="Normal"/>
              <w:snapToGrid w:val="false"/>
              <w:ind w:right="-1" w:hanging="0"/>
              <w:jc w:val="center"/>
              <w:rPr>
                <w:sz w:val="20"/>
                <w:szCs w:val="20"/>
              </w:rPr>
            </w:pPr>
            <w:r>
              <w:rPr>
                <w:sz w:val="20"/>
                <w:szCs w:val="20"/>
              </w:rPr>
            </w:r>
          </w:p>
        </w:tc>
        <w:tc>
          <w:tcPr>
            <w:tcW w:w="1997" w:type="dxa"/>
            <w:tcBorders>
              <w:bottom w:val="single" w:sz="4" w:space="0" w:color="000001"/>
              <w:insideH w:val="single" w:sz="4" w:space="0" w:color="000001"/>
            </w:tcBorders>
            <w:shd w:color="auto" w:fill="auto" w:val="clear"/>
          </w:tcPr>
          <w:p>
            <w:pPr>
              <w:pStyle w:val="Normal"/>
              <w:snapToGrid w:val="false"/>
              <w:ind w:right="-1" w:hanging="0"/>
              <w:jc w:val="center"/>
              <w:rPr>
                <w:sz w:val="20"/>
                <w:szCs w:val="20"/>
              </w:rPr>
            </w:pPr>
            <w:r>
              <w:rPr>
                <w:sz w:val="20"/>
                <w:szCs w:val="20"/>
              </w:rPr>
            </w:r>
          </w:p>
        </w:tc>
        <w:tc>
          <w:tcPr>
            <w:tcW w:w="687" w:type="dxa"/>
            <w:tcBorders>
              <w:bottom w:val="single" w:sz="4" w:space="0" w:color="000001"/>
              <w:insideH w:val="single" w:sz="4" w:space="0" w:color="000001"/>
            </w:tcBorders>
            <w:shd w:color="auto" w:fill="auto" w:val="clear"/>
          </w:tcPr>
          <w:p>
            <w:pPr>
              <w:pStyle w:val="Normal"/>
              <w:snapToGrid w:val="false"/>
              <w:ind w:right="-1" w:hanging="0"/>
              <w:jc w:val="center"/>
              <w:rPr>
                <w:sz w:val="20"/>
                <w:szCs w:val="20"/>
              </w:rPr>
            </w:pPr>
            <w:r>
              <w:rPr>
                <w:sz w:val="20"/>
                <w:szCs w:val="20"/>
              </w:rPr>
            </w:r>
          </w:p>
        </w:tc>
        <w:tc>
          <w:tcPr>
            <w:tcW w:w="2625" w:type="dxa"/>
            <w:tcBorders>
              <w:bottom w:val="single" w:sz="4" w:space="0" w:color="000001"/>
              <w:insideH w:val="single" w:sz="4" w:space="0" w:color="000001"/>
            </w:tcBorders>
            <w:shd w:color="auto" w:fill="auto" w:val="clear"/>
          </w:tcPr>
          <w:p>
            <w:pPr>
              <w:pStyle w:val="Normal"/>
              <w:snapToGrid w:val="false"/>
              <w:ind w:right="-1" w:hanging="0"/>
              <w:jc w:val="right"/>
              <w:rPr>
                <w:sz w:val="20"/>
                <w:szCs w:val="20"/>
              </w:rPr>
            </w:pPr>
            <w:r>
              <w:rPr>
                <w:sz w:val="20"/>
                <w:szCs w:val="20"/>
              </w:rPr>
            </w:r>
          </w:p>
        </w:tc>
        <w:tc>
          <w:tcPr>
            <w:tcW w:w="631" w:type="dxa"/>
            <w:tcBorders>
              <w:bottom w:val="single" w:sz="4" w:space="0" w:color="000001"/>
              <w:insideH w:val="single" w:sz="4" w:space="0" w:color="000001"/>
            </w:tcBorders>
            <w:shd w:color="auto" w:fill="auto" w:val="clear"/>
          </w:tcPr>
          <w:p>
            <w:pPr>
              <w:pStyle w:val="Normal"/>
              <w:snapToGrid w:val="false"/>
              <w:ind w:right="-1" w:hanging="0"/>
              <w:jc w:val="right"/>
              <w:rPr>
                <w:sz w:val="20"/>
                <w:szCs w:val="20"/>
              </w:rPr>
            </w:pPr>
            <w:r>
              <w:rPr>
                <w:sz w:val="20"/>
                <w:szCs w:val="20"/>
              </w:rPr>
            </w:r>
          </w:p>
        </w:tc>
      </w:tr>
      <w:tr>
        <w:trPr>
          <w:trHeight w:val="186" w:hRule="atLeast"/>
        </w:trPr>
        <w:tc>
          <w:tcPr>
            <w:tcW w:w="3284" w:type="dxa"/>
            <w:tcBorders>
              <w:top w:val="single" w:sz="4" w:space="0" w:color="000001"/>
              <w:bottom w:val="single" w:sz="4" w:space="0" w:color="000001"/>
              <w:insideH w:val="single" w:sz="4" w:space="0" w:color="000001"/>
            </w:tcBorders>
            <w:shd w:color="auto" w:fill="auto" w:val="clear"/>
          </w:tcPr>
          <w:p>
            <w:pPr>
              <w:pStyle w:val="Pagrindinistekstas"/>
              <w:shd w:val="clear" w:fill="FFFFFF"/>
              <w:ind w:left="0" w:right="0" w:hanging="0"/>
              <w:jc w:val="center"/>
              <w:rPr/>
            </w:pPr>
            <w:r>
              <w:rPr>
                <w:rFonts w:cs="Times New Roman"/>
                <w:color w:val="000000"/>
                <w:position w:val="12"/>
                <w:sz w:val="20"/>
                <w:lang w:val="lt-LT"/>
              </w:rPr>
              <w:t>(Tiekėjo arba jo įgalioto asmens pareigų pavadinimas)</w:t>
            </w:r>
          </w:p>
        </w:tc>
        <w:tc>
          <w:tcPr>
            <w:tcW w:w="603" w:type="dxa"/>
            <w:tcBorders>
              <w:top w:val="single" w:sz="4" w:space="0" w:color="000001"/>
              <w:bottom w:val="single" w:sz="4" w:space="0" w:color="000001"/>
              <w:insideH w:val="single" w:sz="4" w:space="0" w:color="000001"/>
            </w:tcBorders>
            <w:shd w:color="auto" w:fill="auto" w:val="clear"/>
          </w:tcPr>
          <w:p>
            <w:pPr>
              <w:pStyle w:val="Normal"/>
              <w:snapToGrid w:val="false"/>
              <w:ind w:right="-1" w:hanging="0"/>
              <w:jc w:val="center"/>
              <w:rPr>
                <w:sz w:val="20"/>
                <w:szCs w:val="20"/>
              </w:rPr>
            </w:pPr>
            <w:r>
              <w:rPr>
                <w:sz w:val="20"/>
                <w:szCs w:val="20"/>
              </w:rPr>
            </w:r>
          </w:p>
        </w:tc>
        <w:tc>
          <w:tcPr>
            <w:tcW w:w="1997" w:type="dxa"/>
            <w:tcBorders>
              <w:top w:val="single" w:sz="4" w:space="0" w:color="000001"/>
              <w:bottom w:val="single" w:sz="4" w:space="0" w:color="000001"/>
              <w:insideH w:val="single" w:sz="4" w:space="0" w:color="000001"/>
            </w:tcBorders>
            <w:shd w:color="auto" w:fill="auto" w:val="clear"/>
          </w:tcPr>
          <w:p>
            <w:pPr>
              <w:pStyle w:val="Normal"/>
              <w:ind w:right="-1" w:hanging="0"/>
              <w:jc w:val="center"/>
              <w:rPr/>
            </w:pPr>
            <w:r>
              <w:rPr>
                <w:color w:val="000000"/>
                <w:position w:val="2"/>
                <w:sz w:val="20"/>
                <w:szCs w:val="20"/>
              </w:rPr>
              <w:t>(Parašas)</w:t>
            </w:r>
          </w:p>
        </w:tc>
        <w:tc>
          <w:tcPr>
            <w:tcW w:w="687" w:type="dxa"/>
            <w:tcBorders>
              <w:top w:val="single" w:sz="4" w:space="0" w:color="000001"/>
              <w:bottom w:val="single" w:sz="4" w:space="0" w:color="000001"/>
              <w:insideH w:val="single" w:sz="4" w:space="0" w:color="000001"/>
            </w:tcBorders>
            <w:shd w:color="auto" w:fill="auto" w:val="clear"/>
          </w:tcPr>
          <w:p>
            <w:pPr>
              <w:pStyle w:val="Normal"/>
              <w:snapToGrid w:val="false"/>
              <w:ind w:right="-1" w:hanging="0"/>
              <w:jc w:val="center"/>
              <w:rPr>
                <w:sz w:val="20"/>
                <w:szCs w:val="20"/>
              </w:rPr>
            </w:pPr>
            <w:r>
              <w:rPr>
                <w:sz w:val="20"/>
                <w:szCs w:val="20"/>
              </w:rPr>
            </w:r>
          </w:p>
        </w:tc>
        <w:tc>
          <w:tcPr>
            <w:tcW w:w="2625" w:type="dxa"/>
            <w:tcBorders>
              <w:top w:val="single" w:sz="4" w:space="0" w:color="000001"/>
              <w:bottom w:val="single" w:sz="4" w:space="0" w:color="000001"/>
              <w:insideH w:val="single" w:sz="4" w:space="0" w:color="000001"/>
            </w:tcBorders>
            <w:shd w:color="auto" w:fill="auto" w:val="clear"/>
          </w:tcPr>
          <w:p>
            <w:pPr>
              <w:pStyle w:val="Normal"/>
              <w:ind w:right="-1" w:hanging="0"/>
              <w:jc w:val="center"/>
              <w:rPr/>
            </w:pPr>
            <w:r>
              <w:rPr>
                <w:color w:val="000000"/>
                <w:position w:val="2"/>
                <w:sz w:val="20"/>
                <w:szCs w:val="20"/>
              </w:rPr>
              <w:t>(Vardas ir pavardė)</w:t>
            </w:r>
          </w:p>
        </w:tc>
        <w:tc>
          <w:tcPr>
            <w:tcW w:w="631" w:type="dxa"/>
            <w:tcBorders>
              <w:top w:val="single" w:sz="4" w:space="0" w:color="000001"/>
              <w:bottom w:val="single" w:sz="4" w:space="0" w:color="000001"/>
              <w:insideH w:val="single" w:sz="4" w:space="0" w:color="000001"/>
            </w:tcBorders>
            <w:shd w:color="auto" w:fill="auto" w:val="clear"/>
          </w:tcPr>
          <w:p>
            <w:pPr>
              <w:pStyle w:val="Normal"/>
              <w:snapToGrid w:val="false"/>
              <w:ind w:right="-1" w:hanging="0"/>
              <w:jc w:val="center"/>
              <w:rPr>
                <w:sz w:val="20"/>
                <w:szCs w:val="20"/>
              </w:rPr>
            </w:pPr>
            <w:r>
              <w:rPr>
                <w:sz w:val="20"/>
                <w:szCs w:val="20"/>
              </w:rPr>
            </w:r>
          </w:p>
        </w:tc>
      </w:tr>
    </w:tbl>
    <w:p>
      <w:pPr>
        <w:pStyle w:val="Linija"/>
        <w:spacing w:before="0" w:after="0"/>
        <w:ind w:left="0" w:right="283" w:firstLine="720"/>
        <w:jc w:val="center"/>
        <w:rPr/>
      </w:pPr>
      <w:r>
        <w:rPr/>
        <mc:AlternateContent>
          <mc:Choice Requires="wps">
            <w:drawing>
              <wp:anchor behindDoc="0" distT="0" distB="0" distL="114935" distR="114935" simplePos="0" locked="0" layoutInCell="1" allowOverlap="1" relativeHeight="2">
                <wp:simplePos x="0" y="0"/>
                <wp:positionH relativeFrom="column">
                  <wp:posOffset>1600200</wp:posOffset>
                </wp:positionH>
                <wp:positionV relativeFrom="paragraph">
                  <wp:posOffset>353434650</wp:posOffset>
                </wp:positionV>
                <wp:extent cx="2640330" cy="11430"/>
                <wp:effectExtent l="0" t="0" r="0" b="0"/>
                <wp:wrapNone/>
                <wp:docPr id="2" name="Tiesioji jungtis 19"/>
                <a:graphic xmlns:a="http://schemas.openxmlformats.org/drawingml/2006/main">
                  <a:graphicData uri="http://schemas.microsoft.com/office/word/2010/wordprocessingShape">
                    <wps:wsp>
                      <wps:cNvSpPr/>
                      <wps:spPr>
                        <a:xfrm>
                          <a:off x="0" y="0"/>
                          <a:ext cx="2639520" cy="3240"/>
                        </a:xfrm>
                        <a:prstGeom prst="line">
                          <a:avLst/>
                        </a:prstGeom>
                        <a:ln w="9360">
                          <a:noFill/>
                        </a:ln>
                      </wps:spPr>
                      <wps:style>
                        <a:lnRef idx="0"/>
                        <a:fillRef idx="0"/>
                        <a:effectRef idx="0"/>
                        <a:fontRef idx="minor"/>
                      </wps:style>
                      <wps:bodyPr/>
                    </wps:wsp>
                  </a:graphicData>
                </a:graphic>
              </wp:anchor>
            </w:drawing>
          </mc:Choice>
          <mc:Fallback>
            <w:pict>
              <v:line id="shape_0" from="126pt,27829.35pt" to="333.8pt,27829.55pt" ID="Tiesioji jungtis 19" stroked="f" style="position:absolute">
                <v:stroke color="#3465a4" weight="9360" joinstyle="round" endcap="flat"/>
                <v:fill o:detectmouseclick="t" on="false"/>
              </v:line>
            </w:pict>
          </mc:Fallback>
        </mc:AlternateContent>
      </w:r>
    </w:p>
    <w:sectPr>
      <w:headerReference w:type="default" r:id="rId11"/>
      <w:footerReference w:type="default" r:id="rId12"/>
      <w:type w:val="nextPage"/>
      <w:pgSz w:w="11906" w:h="16838"/>
      <w:pgMar w:left="1701" w:right="567" w:header="0" w:top="1134" w:footer="1134" w:bottom="2231"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Liberation Serif">
    <w:altName w:val="Times New Roman"/>
    <w:charset w:val="01"/>
    <w:family w:val="swiss"/>
    <w:pitch w:val="variable"/>
  </w:font>
  <w:font w:name="StarSymbol">
    <w:altName w:val="Arial Unicode MS"/>
    <w:charset w:val="01"/>
    <w:family w:val="roman"/>
    <w:pitch w:val="variable"/>
  </w:font>
  <w:font w:name="Tahoma">
    <w:charset w:val="01"/>
    <w:family w:val="roman"/>
    <w:pitch w:val="variable"/>
  </w:font>
  <w:font w:name="TimesLT">
    <w:altName w:val="Times New Roman"/>
    <w:charset w:val="01"/>
    <w:family w:val="roman"/>
    <w:pitch w:val="variable"/>
  </w:font>
  <w:font w:name="Arial">
    <w:charset w:val="01"/>
    <w:family w:val="roman"/>
    <w:pitch w:val="variable"/>
  </w:font>
  <w:font w:name="Times New Roman">
    <w:altName w:val="serif"/>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uslapinporat"/>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uslapinporat"/>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uslapinantrat"/>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Antrat1"/>
      <w:numFmt w:val="none"/>
      <w:suff w:val="nothing"/>
      <w:lvlText w:val=""/>
      <w:lvlJc w:val="left"/>
      <w:pPr>
        <w:ind w:left="432" w:hanging="432"/>
      </w:pPr>
      <w:rPr>
        <w:sz w:val="24"/>
        <w:b/>
        <w:szCs w:val="24"/>
        <w:bCs/>
        <w:rFonts w:cs="Times New Roman"/>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none"/>
      <w:suff w:val="nothing"/>
      <w:lvlText w:val=""/>
      <w:lvlJc w:val="left"/>
      <w:pPr>
        <w:ind w:left="432" w:hanging="432"/>
      </w:pPr>
      <w:rPr>
        <w:sz w:val="24"/>
        <w:b/>
        <w:szCs w:val="24"/>
        <w:bCs/>
        <w:rFonts w:cs="Times New Roman"/>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lvl w:ilvl="0">
      <w:start w:val="1"/>
      <w:numFmt w:val="decimal"/>
      <w:lvlText w:val="%1."/>
      <w:lvlJc w:val="left"/>
      <w:pPr>
        <w:tabs>
          <w:tab w:val="num" w:pos="720"/>
        </w:tabs>
        <w:ind w:left="720" w:hanging="360"/>
      </w:pPr>
      <w:rPr>
        <w:sz w:val="24"/>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80"/>
  <w:displayBackgroundShape/>
  <w:defaultTabStop w:val="720"/>
  <w:autoHyphenation w:val="fals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 w:val="20"/>
        <w:szCs w:val="24"/>
        <w:lang w:val="lt-LT" w:eastAsia="zh-CN" w:bidi="hi-IN"/>
      </w:rPr>
    </w:rPrDefault>
    <w:pPrDefault>
      <w:pPr/>
    </w:pPrDefault>
  </w:docDefaults>
  <w:style w:type="paragraph" w:styleId="Normal">
    <w:name w:val="Normal"/>
    <w:qFormat/>
    <w:pPr>
      <w:widowControl w:val="false"/>
      <w:suppressAutoHyphens w:val="true"/>
      <w:overflowPunct w:val="false"/>
      <w:bidi w:val="0"/>
      <w:jc w:val="left"/>
    </w:pPr>
    <w:rPr>
      <w:rFonts w:ascii="Times New Roman" w:hAnsi="Times New Roman" w:eastAsia="Andale Sans UI;Arial Unicode MS" w:cs="Tahoma"/>
      <w:color w:val="00000A"/>
      <w:sz w:val="24"/>
      <w:szCs w:val="24"/>
      <w:lang w:val="lt-LT" w:eastAsia="zh-CN" w:bidi="en-US"/>
    </w:rPr>
  </w:style>
  <w:style w:type="paragraph" w:styleId="Antrat1">
    <w:name w:val="Heading 1"/>
    <w:basedOn w:val="Antrat"/>
    <w:qFormat/>
    <w:pPr>
      <w:numPr>
        <w:ilvl w:val="0"/>
        <w:numId w:val="1"/>
      </w:numPr>
      <w:shd w:val="clear" w:fill="FFFFFF"/>
      <w:spacing w:before="283" w:after="283"/>
      <w:outlineLvl w:val="0"/>
      <w:outlineLvl w:val="0"/>
    </w:pPr>
    <w:rPr>
      <w:b/>
      <w:bCs/>
      <w:caps/>
      <w:sz w:val="28"/>
      <w:szCs w:val="32"/>
      <w:lang w:val="lt-LT"/>
    </w:rPr>
  </w:style>
  <w:style w:type="paragraph" w:styleId="Antrat2">
    <w:name w:val="Heading 2"/>
    <w:basedOn w:val="Antrat"/>
    <w:qFormat/>
    <w:pPr>
      <w:outlineLvl w:val="1"/>
    </w:pPr>
    <w:rPr>
      <w:b/>
      <w:bCs/>
      <w:i w:val="false"/>
      <w:iCs/>
      <w:sz w:val="24"/>
      <w:szCs w:val="28"/>
      <w:lang w:val="lt-LT"/>
    </w:rPr>
  </w:style>
  <w:style w:type="paragraph" w:styleId="Antrat3">
    <w:name w:val="Heading 3"/>
    <w:basedOn w:val="Antrat"/>
    <w:qFormat/>
    <w:pPr>
      <w:outlineLvl w:val="2"/>
    </w:pPr>
    <w:rPr>
      <w:b/>
      <w:bCs/>
      <w:sz w:val="28"/>
      <w:szCs w:val="28"/>
      <w:lang w:val="lt-LT"/>
    </w:rPr>
  </w:style>
  <w:style w:type="paragraph" w:styleId="Antrat4">
    <w:name w:val="Heading 4"/>
    <w:basedOn w:val="Antrat"/>
    <w:qFormat/>
    <w:pPr>
      <w:spacing w:before="120" w:after="120"/>
      <w:outlineLvl w:val="3"/>
    </w:pPr>
    <w:rPr>
      <w:rFonts w:ascii="Liberation Serif;Times New Roman" w:hAnsi="Liberation Serif;Times New Roman" w:eastAsia="Droid Sans Fallback" w:cs="Lohit Hindi"/>
      <w:b/>
      <w:bCs/>
      <w:color w:val="808080"/>
      <w:sz w:val="24"/>
      <w:szCs w:val="24"/>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Times New Roman" w:hAnsi="Times New Roman" w:cs="Times New Roman"/>
      <w:b/>
      <w:bCs/>
      <w:sz w:val="24"/>
      <w:szCs w:val="24"/>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cs="Times New Roman"/>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1zfalse">
    <w:name w:val="WW8Num1zfalse"/>
    <w:qFormat/>
    <w:rPr/>
  </w:style>
  <w:style w:type="character" w:styleId="WW8Num1ztrue">
    <w:name w:val="WW8Num1ztrue"/>
    <w:qFormat/>
    <w:rPr/>
  </w:style>
  <w:style w:type="character" w:styleId="WWWW8Num1ztrue">
    <w:name w:val="WW-WW8Num1ztrue"/>
    <w:qFormat/>
    <w:rPr/>
  </w:style>
  <w:style w:type="character" w:styleId="WWWW8Num1ztrue1">
    <w:name w:val="WW-WW8Num1ztrue1"/>
    <w:qFormat/>
    <w:rPr/>
  </w:style>
  <w:style w:type="character" w:styleId="WWWW8Num1ztrue2">
    <w:name w:val="WW-WW8Num1ztrue2"/>
    <w:qFormat/>
    <w:rPr/>
  </w:style>
  <w:style w:type="character" w:styleId="WWWW8Num1ztrue3">
    <w:name w:val="WW-WW8Num1ztrue3"/>
    <w:qFormat/>
    <w:rPr/>
  </w:style>
  <w:style w:type="character" w:styleId="WWWW8Num1ztrue4">
    <w:name w:val="WW-WW8Num1ztrue4"/>
    <w:qFormat/>
    <w:rPr/>
  </w:style>
  <w:style w:type="character" w:styleId="WWWW8Num1ztrue5">
    <w:name w:val="WW-WW8Num1ztrue5"/>
    <w:qFormat/>
    <w:rPr/>
  </w:style>
  <w:style w:type="character" w:styleId="WWWW8Num1ztrue6">
    <w:name w:val="WW-WW8Num1ztrue6"/>
    <w:qFormat/>
    <w:rPr/>
  </w:style>
  <w:style w:type="character" w:styleId="WWWW8Num1ztrue7">
    <w:name w:val="WW-WW8Num1ztrue7"/>
    <w:qFormat/>
    <w:rPr/>
  </w:style>
  <w:style w:type="character" w:styleId="WWWW8Num1ztrue11">
    <w:name w:val="WW-WW8Num1ztrue11"/>
    <w:qFormat/>
    <w:rPr/>
  </w:style>
  <w:style w:type="character" w:styleId="WWWW8Num1ztrue21">
    <w:name w:val="WW-WW8Num1ztrue21"/>
    <w:qFormat/>
    <w:rPr/>
  </w:style>
  <w:style w:type="character" w:styleId="WWWW8Num1ztrue31">
    <w:name w:val="WW-WW8Num1ztrue31"/>
    <w:qFormat/>
    <w:rPr/>
  </w:style>
  <w:style w:type="character" w:styleId="WWWW8Num1ztrue41">
    <w:name w:val="WW-WW8Num1ztrue41"/>
    <w:qFormat/>
    <w:rPr/>
  </w:style>
  <w:style w:type="character" w:styleId="WWWW8Num1ztrue51">
    <w:name w:val="WW-WW8Num1ztrue51"/>
    <w:qFormat/>
    <w:rPr/>
  </w:style>
  <w:style w:type="character" w:styleId="WWWW8Num1ztrue61">
    <w:name w:val="WW-WW8Num1ztrue61"/>
    <w:qFormat/>
    <w:rPr/>
  </w:style>
  <w:style w:type="character" w:styleId="WWWW8Num1ztrue71">
    <w:name w:val="WW-WW8Num1ztrue71"/>
    <w:qFormat/>
    <w:rPr/>
  </w:style>
  <w:style w:type="character" w:styleId="WWWW8Num1ztrue111">
    <w:name w:val="WW-WW8Num1ztrue111"/>
    <w:qFormat/>
    <w:rPr/>
  </w:style>
  <w:style w:type="character" w:styleId="WWWW8Num1ztrue211">
    <w:name w:val="WW-WW8Num1ztrue211"/>
    <w:qFormat/>
    <w:rPr/>
  </w:style>
  <w:style w:type="character" w:styleId="WWWW8Num1ztrue311">
    <w:name w:val="WW-WW8Num1ztrue311"/>
    <w:qFormat/>
    <w:rPr/>
  </w:style>
  <w:style w:type="character" w:styleId="WWWW8Num1ztrue411">
    <w:name w:val="WW-WW8Num1ztrue411"/>
    <w:qFormat/>
    <w:rPr/>
  </w:style>
  <w:style w:type="character" w:styleId="WWWW8Num1ztrue511">
    <w:name w:val="WW-WW8Num1ztrue511"/>
    <w:qFormat/>
    <w:rPr/>
  </w:style>
  <w:style w:type="character" w:styleId="WWWW8Num1ztrue611">
    <w:name w:val="WW-WW8Num1ztrue611"/>
    <w:qFormat/>
    <w:rPr/>
  </w:style>
  <w:style w:type="character" w:styleId="WWWW8Num1ztrue711">
    <w:name w:val="WW-WW8Num1ztrue711"/>
    <w:qFormat/>
    <w:rPr/>
  </w:style>
  <w:style w:type="character" w:styleId="WWWW8Num1ztrue1111">
    <w:name w:val="WW-WW8Num1ztrue1111"/>
    <w:qFormat/>
    <w:rPr/>
  </w:style>
  <w:style w:type="character" w:styleId="WWWW8Num1ztrue2111">
    <w:name w:val="WW-WW8Num1ztrue2111"/>
    <w:qFormat/>
    <w:rPr/>
  </w:style>
  <w:style w:type="character" w:styleId="WWWW8Num1ztrue3111">
    <w:name w:val="WW-WW8Num1ztrue3111"/>
    <w:qFormat/>
    <w:rPr/>
  </w:style>
  <w:style w:type="character" w:styleId="WWWW8Num1ztrue4111">
    <w:name w:val="WW-WW8Num1ztrue4111"/>
    <w:qFormat/>
    <w:rPr/>
  </w:style>
  <w:style w:type="character" w:styleId="WWWW8Num1ztrue5111">
    <w:name w:val="WW-WW8Num1ztrue5111"/>
    <w:qFormat/>
    <w:rPr/>
  </w:style>
  <w:style w:type="character" w:styleId="WWWW8Num1ztrue6111">
    <w:name w:val="WW-WW8Num1ztrue6111"/>
    <w:qFormat/>
    <w:rPr/>
  </w:style>
  <w:style w:type="character" w:styleId="WWWW8Num1ztrue7111">
    <w:name w:val="WW-WW8Num1ztrue7111"/>
    <w:qFormat/>
    <w:rPr/>
  </w:style>
  <w:style w:type="character" w:styleId="WWWW8Num1ztrue11111">
    <w:name w:val="WW-WW8Num1ztrue11111"/>
    <w:qFormat/>
    <w:rPr/>
  </w:style>
  <w:style w:type="character" w:styleId="WWWW8Num1ztrue21111">
    <w:name w:val="WW-WW8Num1ztrue21111"/>
    <w:qFormat/>
    <w:rPr/>
  </w:style>
  <w:style w:type="character" w:styleId="WWWW8Num1ztrue31111">
    <w:name w:val="WW-WW8Num1ztrue31111"/>
    <w:qFormat/>
    <w:rPr/>
  </w:style>
  <w:style w:type="character" w:styleId="WWWW8Num1ztrue41111">
    <w:name w:val="WW-WW8Num1ztrue41111"/>
    <w:qFormat/>
    <w:rPr/>
  </w:style>
  <w:style w:type="character" w:styleId="WWWW8Num1ztrue51111">
    <w:name w:val="WW-WW8Num1ztrue51111"/>
    <w:qFormat/>
    <w:rPr/>
  </w:style>
  <w:style w:type="character" w:styleId="WWWW8Num1ztrue61111">
    <w:name w:val="WW-WW8Num1ztrue61111"/>
    <w:qFormat/>
    <w:rPr/>
  </w:style>
  <w:style w:type="character" w:styleId="WWWW8Num1ztrue71111">
    <w:name w:val="WW-WW8Num1ztrue71111"/>
    <w:qFormat/>
    <w:rPr/>
  </w:style>
  <w:style w:type="character" w:styleId="WWWW8Num1ztrue111111">
    <w:name w:val="WW-WW8Num1ztrue111111"/>
    <w:qFormat/>
    <w:rPr/>
  </w:style>
  <w:style w:type="character" w:styleId="WWWW8Num1ztrue211111">
    <w:name w:val="WW-WW8Num1ztrue211111"/>
    <w:qFormat/>
    <w:rPr/>
  </w:style>
  <w:style w:type="character" w:styleId="WWWW8Num1ztrue311111">
    <w:name w:val="WW-WW8Num1ztrue311111"/>
    <w:qFormat/>
    <w:rPr/>
  </w:style>
  <w:style w:type="character" w:styleId="WWWW8Num1ztrue411111">
    <w:name w:val="WW-WW8Num1ztrue411111"/>
    <w:qFormat/>
    <w:rPr/>
  </w:style>
  <w:style w:type="character" w:styleId="WWWW8Num1ztrue511111">
    <w:name w:val="WW-WW8Num1ztrue511111"/>
    <w:qFormat/>
    <w:rPr/>
  </w:style>
  <w:style w:type="character" w:styleId="WWWW8Num1ztrue611111">
    <w:name w:val="WW-WW8Num1ztrue611111"/>
    <w:qFormat/>
    <w:rPr/>
  </w:style>
  <w:style w:type="character" w:styleId="WWWW8Num1ztrue711111">
    <w:name w:val="WW-WW8Num1ztrue711111"/>
    <w:qFormat/>
    <w:rPr/>
  </w:style>
  <w:style w:type="character" w:styleId="WWWW8Num1ztrue1111111">
    <w:name w:val="WW-WW8Num1ztrue1111111"/>
    <w:qFormat/>
    <w:rPr/>
  </w:style>
  <w:style w:type="character" w:styleId="WWWW8Num1ztrue2111111">
    <w:name w:val="WW-WW8Num1ztrue2111111"/>
    <w:qFormat/>
    <w:rPr/>
  </w:style>
  <w:style w:type="character" w:styleId="WWWW8Num1ztrue3111111">
    <w:name w:val="WW-WW8Num1ztrue3111111"/>
    <w:qFormat/>
    <w:rPr/>
  </w:style>
  <w:style w:type="character" w:styleId="WWWW8Num1ztrue4111111">
    <w:name w:val="WW-WW8Num1ztrue4111111"/>
    <w:qFormat/>
    <w:rPr/>
  </w:style>
  <w:style w:type="character" w:styleId="WWWW8Num1ztrue5111111">
    <w:name w:val="WW-WW8Num1ztrue5111111"/>
    <w:qFormat/>
    <w:rPr/>
  </w:style>
  <w:style w:type="character" w:styleId="WWWW8Num1ztrue6111111">
    <w:name w:val="WW-WW8Num1ztrue6111111"/>
    <w:qFormat/>
    <w:rPr/>
  </w:style>
  <w:style w:type="character" w:styleId="DefaultParagraphFont">
    <w:name w:val="Default Paragraph Font"/>
    <w:qFormat/>
    <w:rPr/>
  </w:style>
  <w:style w:type="character" w:styleId="FootnoteCharacters">
    <w:name w:val="Footnote Characters"/>
    <w:qFormat/>
    <w:rPr/>
  </w:style>
  <w:style w:type="character" w:styleId="Puslapionumeris">
    <w:name w:val="Puslapio numeris"/>
    <w:rPr/>
  </w:style>
  <w:style w:type="character" w:styleId="Numeravimosimboliai">
    <w:name w:val="Numeravimo simboliai"/>
    <w:qFormat/>
    <w:rPr/>
  </w:style>
  <w:style w:type="character" w:styleId="Bullets">
    <w:name w:val="Bullets"/>
    <w:qFormat/>
    <w:rPr>
      <w:rFonts w:ascii="StarSymbol;Arial Unicode MS" w:hAnsi="StarSymbol;Arial Unicode MS" w:eastAsia="StarSymbol;Arial Unicode MS" w:cs="StarSymbol;Arial Unicode MS"/>
      <w:sz w:val="18"/>
      <w:szCs w:val="18"/>
    </w:rPr>
  </w:style>
  <w:style w:type="character" w:styleId="Internetosaitas">
    <w:name w:val="Interneto saitas"/>
    <w:rPr>
      <w:color w:val="000080"/>
      <w:u w:val="single"/>
    </w:rPr>
  </w:style>
  <w:style w:type="character" w:styleId="Rezervuotavieta">
    <w:name w:val="Rezervuota vieta"/>
    <w:qFormat/>
    <w:rPr>
      <w:caps w:val="false"/>
      <w:smallCaps w:val="false"/>
      <w:color w:val="008080"/>
      <w:u w:val="dotted"/>
      <w:lang w:val="lt-LT"/>
    </w:rPr>
  </w:style>
  <w:style w:type="character" w:styleId="EndnoteCharacters">
    <w:name w:val="Endnote Characters"/>
    <w:qFormat/>
    <w:rPr/>
  </w:style>
  <w:style w:type="character" w:styleId="Iskyrimas">
    <w:name w:val="Išskyrimas"/>
    <w:basedOn w:val="DefaultParagraphFont"/>
    <w:qFormat/>
    <w:rPr>
      <w:i/>
      <w:iCs/>
    </w:rPr>
  </w:style>
  <w:style w:type="character" w:styleId="Stiprusparykinimas">
    <w:name w:val="Stiprus paryškinimas"/>
    <w:qFormat/>
    <w:rPr>
      <w:b/>
      <w:bCs/>
    </w:rPr>
  </w:style>
  <w:style w:type="character" w:styleId="ListLabel1">
    <w:name w:val="ListLabel 1"/>
    <w:qFormat/>
    <w:rPr>
      <w:rFonts w:cs="Times New Roman"/>
      <w:b/>
      <w:bCs/>
      <w:sz w:val="24"/>
      <w:szCs w:val="24"/>
    </w:rPr>
  </w:style>
  <w:style w:type="character" w:styleId="ListLabel2">
    <w:name w:val="ListLabel 2"/>
    <w:qFormat/>
    <w:rPr>
      <w:rFonts w:cs="Times New Roman"/>
      <w:b/>
      <w:bCs/>
      <w:sz w:val="24"/>
      <w:szCs w:val="24"/>
    </w:rPr>
  </w:style>
  <w:style w:type="character" w:styleId="ListLabel3">
    <w:name w:val="ListLabel 3"/>
    <w:qFormat/>
    <w:rPr>
      <w:rFonts w:cs="Times New Roman"/>
      <w:sz w:val="24"/>
    </w:rPr>
  </w:style>
  <w:style w:type="character" w:styleId="ListLabel4">
    <w:name w:val="ListLabel 4"/>
    <w:qFormat/>
    <w:rPr>
      <w:rFonts w:cs="Times New Roman"/>
      <w:b/>
      <w:bCs/>
      <w:sz w:val="24"/>
      <w:szCs w:val="24"/>
    </w:rPr>
  </w:style>
  <w:style w:type="character" w:styleId="ListLabel5">
    <w:name w:val="ListLabel 5"/>
    <w:qFormat/>
    <w:rPr>
      <w:rFonts w:cs="Times New Roman"/>
      <w:b/>
      <w:bCs/>
      <w:sz w:val="24"/>
      <w:szCs w:val="24"/>
    </w:rPr>
  </w:style>
  <w:style w:type="character" w:styleId="ListLabel6">
    <w:name w:val="ListLabel 6"/>
    <w:qFormat/>
    <w:rPr>
      <w:rFonts w:cs="Times New Roman"/>
      <w:sz w:val="24"/>
    </w:rPr>
  </w:style>
  <w:style w:type="character" w:styleId="ListLabel7">
    <w:name w:val="ListLabel 7"/>
    <w:qFormat/>
    <w:rPr>
      <w:rFonts w:cs="Times New Roman"/>
      <w:b/>
      <w:bCs/>
      <w:sz w:val="24"/>
      <w:szCs w:val="24"/>
    </w:rPr>
  </w:style>
  <w:style w:type="character" w:styleId="ListLabel8">
    <w:name w:val="ListLabel 8"/>
    <w:qFormat/>
    <w:rPr>
      <w:rFonts w:cs="Times New Roman"/>
      <w:b/>
      <w:bCs/>
      <w:sz w:val="24"/>
      <w:szCs w:val="24"/>
    </w:rPr>
  </w:style>
  <w:style w:type="character" w:styleId="ListLabel9">
    <w:name w:val="ListLabel 9"/>
    <w:qFormat/>
    <w:rPr>
      <w:rFonts w:cs="Times New Roman"/>
      <w:sz w:val="24"/>
    </w:rPr>
  </w:style>
  <w:style w:type="character" w:styleId="ListLabel10">
    <w:name w:val="ListLabel 10"/>
    <w:qFormat/>
    <w:rPr>
      <w:rFonts w:cs="Times New Roman"/>
      <w:b/>
      <w:bCs/>
      <w:sz w:val="24"/>
      <w:szCs w:val="24"/>
    </w:rPr>
  </w:style>
  <w:style w:type="character" w:styleId="ListLabel11">
    <w:name w:val="ListLabel 11"/>
    <w:qFormat/>
    <w:rPr>
      <w:rFonts w:cs="Times New Roman"/>
      <w:b/>
      <w:bCs/>
      <w:sz w:val="24"/>
      <w:szCs w:val="24"/>
    </w:rPr>
  </w:style>
  <w:style w:type="character" w:styleId="ListLabel12">
    <w:name w:val="ListLabel 12"/>
    <w:qFormat/>
    <w:rPr>
      <w:rFonts w:cs="Times New Roman"/>
      <w:sz w:val="24"/>
    </w:rPr>
  </w:style>
  <w:style w:type="character" w:styleId="InternetLink">
    <w:name w:val="Internet Link"/>
    <w:qFormat/>
    <w:rPr>
      <w:color w:val="000080"/>
      <w:u w:val="single"/>
    </w:rPr>
  </w:style>
  <w:style w:type="character" w:styleId="ListLabel13">
    <w:name w:val="ListLabel 13"/>
    <w:qFormat/>
    <w:rPr>
      <w:rFonts w:cs="Times New Roman"/>
      <w:b/>
      <w:bCs/>
      <w:sz w:val="24"/>
      <w:szCs w:val="24"/>
    </w:rPr>
  </w:style>
  <w:style w:type="character" w:styleId="ListLabel14">
    <w:name w:val="ListLabel 14"/>
    <w:qFormat/>
    <w:rPr>
      <w:rFonts w:cs="Times New Roman"/>
      <w:b/>
      <w:bCs/>
      <w:sz w:val="24"/>
      <w:szCs w:val="24"/>
    </w:rPr>
  </w:style>
  <w:style w:type="character" w:styleId="ListLabel15">
    <w:name w:val="ListLabel 15"/>
    <w:qFormat/>
    <w:rPr>
      <w:rFonts w:cs="Times New Roman"/>
      <w:sz w:val="24"/>
    </w:rPr>
  </w:style>
  <w:style w:type="paragraph" w:styleId="Antrat">
    <w:name w:val="Antraštė"/>
    <w:basedOn w:val="Normal"/>
    <w:next w:val="Pagrindinistekstas"/>
    <w:qFormat/>
    <w:pPr>
      <w:keepNext/>
      <w:widowControl w:val="false"/>
      <w:suppressAutoHyphens w:val="true"/>
      <w:overflowPunct w:val="false"/>
      <w:bidi w:val="0"/>
      <w:spacing w:before="240" w:after="120"/>
      <w:jc w:val="center"/>
    </w:pPr>
    <w:rPr>
      <w:rFonts w:ascii="Times New Roman" w:hAnsi="Times New Roman" w:eastAsia="Andale Sans UI;Arial Unicode MS" w:cs="Tahoma"/>
      <w:b/>
      <w:caps/>
      <w:color w:val="00000A"/>
      <w:sz w:val="24"/>
      <w:szCs w:val="28"/>
      <w:lang w:val="en-US" w:eastAsia="zh-CN" w:bidi="en-US"/>
    </w:rPr>
  </w:style>
  <w:style w:type="paragraph" w:styleId="Pagrindinistekstas">
    <w:name w:val="Body Text"/>
    <w:basedOn w:val="Normal"/>
    <w:pPr>
      <w:shd w:val="clear" w:fill="FFFFFF"/>
      <w:spacing w:before="0" w:after="0"/>
      <w:ind w:left="0" w:right="0" w:firstLine="567"/>
      <w:jc w:val="both"/>
    </w:pPr>
    <w:rPr/>
  </w:style>
  <w:style w:type="paragraph" w:styleId="Sraas">
    <w:name w:val="List"/>
    <w:basedOn w:val="Pagrindinistekstas"/>
    <w:pPr>
      <w:shd w:val="clear" w:fill="FFFFFF"/>
    </w:pPr>
    <w:rPr>
      <w:rFonts w:cs="Tahoma"/>
    </w:rPr>
  </w:style>
  <w:style w:type="paragraph" w:styleId="Pavadinimas">
    <w:name w:val="Caption"/>
    <w:basedOn w:val="Normal"/>
    <w:qFormat/>
    <w:pPr>
      <w:suppressLineNumbers/>
      <w:spacing w:before="120" w:after="120"/>
    </w:pPr>
    <w:rPr>
      <w:rFonts w:cs="Tahoma"/>
      <w:i/>
      <w:iCs/>
      <w:sz w:val="20"/>
      <w:szCs w:val="20"/>
    </w:rPr>
  </w:style>
  <w:style w:type="paragraph" w:styleId="Rodykl">
    <w:name w:val="Rodyklė"/>
    <w:basedOn w:val="Normal"/>
    <w:qFormat/>
    <w:pPr>
      <w:suppressLineNumbers/>
    </w:pPr>
    <w:rPr>
      <w:rFonts w:cs="Tahoma"/>
    </w:rPr>
  </w:style>
  <w:style w:type="paragraph" w:styleId="AnnotationText">
    <w:name w:val="Annotation Text"/>
    <w:basedOn w:val="Pagrindinistekstas"/>
    <w:qFormat/>
    <w:pPr>
      <w:shd w:val="clear" w:fill="FFFFFF"/>
      <w:ind w:left="2268" w:right="0" w:hanging="0"/>
    </w:pPr>
    <w:rPr/>
  </w:style>
  <w:style w:type="paragraph" w:styleId="ListBullet4">
    <w:name w:val="List Bullet 4"/>
    <w:basedOn w:val="Sraas"/>
    <w:qFormat/>
    <w:pPr>
      <w:shd w:val="clear" w:fill="FFFFFF"/>
      <w:spacing w:before="0" w:after="120"/>
      <w:ind w:left="1080" w:right="0" w:hanging="360"/>
    </w:pPr>
    <w:rPr/>
  </w:style>
  <w:style w:type="paragraph" w:styleId="Numeravimas1tsinys">
    <w:name w:val="Numeravimas 1, tęsinys"/>
    <w:basedOn w:val="Sraas"/>
    <w:qFormat/>
    <w:pPr>
      <w:shd w:val="clear" w:fill="FFFFFF"/>
      <w:spacing w:before="0" w:after="120"/>
      <w:ind w:left="360" w:right="0" w:hanging="0"/>
    </w:pPr>
    <w:rPr/>
  </w:style>
  <w:style w:type="paragraph" w:styleId="Sraas1pradia">
    <w:name w:val="Sąrašas 1, pradžia"/>
    <w:basedOn w:val="Sraas"/>
    <w:qFormat/>
    <w:pPr>
      <w:shd w:val="clear" w:fill="FFFFFF"/>
      <w:spacing w:before="240" w:after="120"/>
      <w:ind w:left="360" w:right="0" w:hanging="360"/>
    </w:pPr>
    <w:rPr/>
  </w:style>
  <w:style w:type="paragraph" w:styleId="ListBullet3">
    <w:name w:val="List Bullet 3"/>
    <w:basedOn w:val="Sraas"/>
    <w:qFormat/>
    <w:pPr>
      <w:shd w:val="clear" w:fill="FFFFFF"/>
      <w:spacing w:before="0" w:after="120"/>
      <w:ind w:left="720" w:right="0" w:hanging="360"/>
    </w:pPr>
    <w:rPr/>
  </w:style>
  <w:style w:type="paragraph" w:styleId="Sraas1pabaiga">
    <w:name w:val="Sąrašas 1, pabaiga"/>
    <w:basedOn w:val="Sraas"/>
    <w:qFormat/>
    <w:pPr>
      <w:shd w:val="clear" w:fill="FFFFFF"/>
      <w:spacing w:before="0" w:after="240"/>
      <w:ind w:left="360" w:right="0" w:hanging="360"/>
    </w:pPr>
    <w:rPr/>
  </w:style>
  <w:style w:type="paragraph" w:styleId="ListContinue">
    <w:name w:val="List Continue"/>
    <w:basedOn w:val="Sraas"/>
    <w:qFormat/>
    <w:pPr>
      <w:shd w:val="clear" w:fill="FFFFFF"/>
      <w:spacing w:before="0" w:after="120"/>
      <w:ind w:left="360" w:right="0" w:hanging="0"/>
    </w:pPr>
    <w:rPr/>
  </w:style>
  <w:style w:type="paragraph" w:styleId="Sraas2pradia">
    <w:name w:val="Sąrašas 2, pradžia"/>
    <w:basedOn w:val="Sraas"/>
    <w:qFormat/>
    <w:pPr>
      <w:shd w:val="clear" w:fill="FFFFFF"/>
      <w:spacing w:before="240" w:after="120"/>
      <w:ind w:left="720" w:right="0" w:hanging="360"/>
    </w:pPr>
    <w:rPr/>
  </w:style>
  <w:style w:type="paragraph" w:styleId="Sraas2pabaiga">
    <w:name w:val="Sąrašas 2, pabaiga"/>
    <w:basedOn w:val="Sraas"/>
    <w:qFormat/>
    <w:pPr>
      <w:shd w:val="clear" w:fill="FFFFFF"/>
      <w:spacing w:before="0" w:after="240"/>
      <w:ind w:left="720" w:right="0" w:hanging="360"/>
    </w:pPr>
    <w:rPr/>
  </w:style>
  <w:style w:type="paragraph" w:styleId="ListContinue2">
    <w:name w:val="List Continue 2"/>
    <w:basedOn w:val="Sraas"/>
    <w:qFormat/>
    <w:pPr>
      <w:shd w:val="clear" w:fill="FFFFFF"/>
      <w:spacing w:before="0" w:after="120"/>
      <w:ind w:left="720" w:right="0" w:hanging="0"/>
    </w:pPr>
    <w:rPr/>
  </w:style>
  <w:style w:type="paragraph" w:styleId="Puslapinantrat">
    <w:name w:val="Header"/>
    <w:basedOn w:val="Normal"/>
    <w:pPr>
      <w:suppressLineNumbers/>
      <w:tabs>
        <w:tab w:val="center" w:pos="4800" w:leader="none"/>
        <w:tab w:val="right" w:pos="9601" w:leader="none"/>
      </w:tabs>
    </w:pPr>
    <w:rPr/>
  </w:style>
  <w:style w:type="paragraph" w:styleId="Puslapinporat">
    <w:name w:val="Footer"/>
    <w:basedOn w:val="Normal"/>
    <w:pPr>
      <w:suppressLineNumbers/>
      <w:tabs>
        <w:tab w:val="center" w:pos="4800" w:leader="none"/>
        <w:tab w:val="right" w:pos="9601" w:leader="none"/>
      </w:tabs>
    </w:pPr>
    <w:rPr/>
  </w:style>
  <w:style w:type="paragraph" w:styleId="Lentelsturinys">
    <w:name w:val="Lentelės turinys"/>
    <w:basedOn w:val="Normal"/>
    <w:qFormat/>
    <w:pPr>
      <w:suppressLineNumbers/>
    </w:pPr>
    <w:rPr/>
  </w:style>
  <w:style w:type="paragraph" w:styleId="Lentelsantrat">
    <w:name w:val="Lentelės antraštė"/>
    <w:basedOn w:val="Lentelsturinys"/>
    <w:qFormat/>
    <w:pPr>
      <w:suppressLineNumbers/>
      <w:jc w:val="center"/>
    </w:pPr>
    <w:rPr>
      <w:b/>
      <w:bCs/>
    </w:rPr>
  </w:style>
  <w:style w:type="paragraph" w:styleId="Lentel">
    <w:name w:val="Lentelė"/>
    <w:basedOn w:val="Pavadinimas"/>
    <w:qFormat/>
    <w:pPr>
      <w:spacing w:before="0" w:after="0"/>
    </w:pPr>
    <w:rPr/>
  </w:style>
  <w:style w:type="paragraph" w:styleId="Horizontalilinija">
    <w:name w:val="Horizontali linija"/>
    <w:basedOn w:val="Normal"/>
    <w:qFormat/>
    <w:pPr>
      <w:suppressLineNumbers/>
      <w:pBdr>
        <w:bottom w:val="double" w:sz="2" w:space="0" w:color="808080"/>
      </w:pBdr>
      <w:spacing w:before="0" w:after="283"/>
    </w:pPr>
    <w:rPr>
      <w:sz w:val="12"/>
      <w:szCs w:val="12"/>
    </w:rPr>
  </w:style>
  <w:style w:type="paragraph" w:styleId="BalloonText">
    <w:name w:val="Balloon Text"/>
    <w:basedOn w:val="Normal"/>
    <w:qFormat/>
    <w:pPr/>
    <w:rPr>
      <w:rFonts w:ascii="Tahoma" w:hAnsi="Tahoma" w:cs="Tahoma"/>
      <w:sz w:val="16"/>
      <w:szCs w:val="16"/>
    </w:rPr>
  </w:style>
  <w:style w:type="paragraph" w:styleId="Pagrindiniotekstotrauka">
    <w:name w:val="Body Text Indent"/>
    <w:basedOn w:val="Normal"/>
    <w:pPr>
      <w:spacing w:before="0" w:after="120"/>
      <w:ind w:left="283" w:right="0" w:hanging="0"/>
    </w:pPr>
    <w:rPr/>
  </w:style>
  <w:style w:type="paragraph" w:styleId="Msolistparagraph">
    <w:name w:val="msolistparagraph"/>
    <w:basedOn w:val="Normal"/>
    <w:qFormat/>
    <w:pPr>
      <w:widowControl/>
      <w:suppressAutoHyphens w:val="false"/>
      <w:ind w:left="720" w:right="0" w:hanging="0"/>
    </w:pPr>
    <w:rPr>
      <w:rFonts w:eastAsia="Times New Roman" w:cs="Times New Roman"/>
      <w:lang w:bidi="ar-SA"/>
    </w:rPr>
  </w:style>
  <w:style w:type="paragraph" w:styleId="FrameContents">
    <w:name w:val="Frame Contents"/>
    <w:basedOn w:val="Pagrindinistekstas"/>
    <w:qFormat/>
    <w:pPr>
      <w:shd w:val="clear" w:fill="FFFFFF"/>
    </w:pPr>
    <w:rPr/>
  </w:style>
  <w:style w:type="paragraph" w:styleId="Bodytext">
    <w:name w:val="bodytext"/>
    <w:basedOn w:val="Normal"/>
    <w:qFormat/>
    <w:pPr>
      <w:spacing w:before="100" w:after="100"/>
    </w:pPr>
    <w:rPr/>
  </w:style>
  <w:style w:type="paragraph" w:styleId="Kadroturinys">
    <w:name w:val="Kadro turinys"/>
    <w:basedOn w:val="Normal"/>
    <w:qFormat/>
    <w:pPr/>
    <w:rPr/>
  </w:style>
  <w:style w:type="paragraph" w:styleId="ListParagraph">
    <w:name w:val="List Paragraph"/>
    <w:basedOn w:val="Normal"/>
    <w:qFormat/>
    <w:pPr>
      <w:spacing w:before="0" w:after="0"/>
      <w:ind w:left="720" w:right="0" w:hanging="0"/>
      <w:contextualSpacing/>
    </w:pPr>
    <w:rPr/>
  </w:style>
  <w:style w:type="paragraph" w:styleId="Bodytext1">
    <w:name w:val="Body text"/>
    <w:qFormat/>
    <w:pPr>
      <w:widowControl/>
      <w:suppressAutoHyphens w:val="true"/>
      <w:overflowPunct w:val="false"/>
      <w:bidi w:val="0"/>
      <w:ind w:left="0" w:right="0" w:firstLine="312"/>
      <w:jc w:val="both"/>
    </w:pPr>
    <w:rPr>
      <w:rFonts w:ascii="TimesLT;Times New Roman" w:hAnsi="TimesLT;Times New Roman" w:eastAsia="Times New Roman" w:cs="TimesLT;Times New Roman"/>
      <w:color w:val="00000A"/>
      <w:sz w:val="20"/>
      <w:szCs w:val="20"/>
      <w:lang w:val="en-US" w:eastAsia="zh-CN" w:bidi="ar-SA"/>
    </w:rPr>
  </w:style>
  <w:style w:type="paragraph" w:styleId="Numatytasis">
    <w:name w:val="Numatytasis"/>
    <w:qFormat/>
    <w:pPr>
      <w:widowControl w:val="false"/>
      <w:suppressAutoHyphens w:val="true"/>
      <w:overflowPunct w:val="false"/>
      <w:bidi w:val="0"/>
      <w:jc w:val="left"/>
    </w:pPr>
    <w:rPr>
      <w:rFonts w:ascii="Times New Roman" w:hAnsi="Times New Roman" w:eastAsia="Times New Roman" w:cs="Times New Roman"/>
      <w:color w:val="00000A"/>
      <w:sz w:val="22"/>
      <w:szCs w:val="24"/>
      <w:lang w:val="lt-LT" w:eastAsia="zh-CN" w:bidi="hi-IN"/>
    </w:rPr>
  </w:style>
  <w:style w:type="paragraph" w:styleId="Citatos">
    <w:name w:val="Citatos"/>
    <w:basedOn w:val="Normal"/>
    <w:qFormat/>
    <w:pPr>
      <w:spacing w:before="0" w:after="283"/>
      <w:ind w:left="567" w:right="567" w:hanging="0"/>
    </w:pPr>
    <w:rPr/>
  </w:style>
  <w:style w:type="paragraph" w:styleId="Dokumentopavadinimas">
    <w:name w:val="Title"/>
    <w:basedOn w:val="Antrat"/>
    <w:qFormat/>
    <w:pPr>
      <w:jc w:val="center"/>
    </w:pPr>
    <w:rPr>
      <w:b/>
      <w:bCs/>
      <w:sz w:val="56"/>
      <w:szCs w:val="56"/>
    </w:rPr>
  </w:style>
  <w:style w:type="paragraph" w:styleId="Dokumentopaantrat">
    <w:name w:val="Subtitle"/>
    <w:basedOn w:val="Antrat"/>
    <w:qFormat/>
    <w:pPr>
      <w:spacing w:before="60" w:after="120"/>
      <w:jc w:val="center"/>
    </w:pPr>
    <w:rPr>
      <w:sz w:val="36"/>
      <w:szCs w:val="36"/>
    </w:rPr>
  </w:style>
  <w:style w:type="paragraph" w:styleId="Section">
    <w:name w:val="Section"/>
    <w:basedOn w:val="Normal"/>
    <w:qFormat/>
    <w:pPr>
      <w:widowControl w:val="false"/>
      <w:spacing w:lineRule="exact" w:line="360" w:before="0" w:after="0"/>
      <w:jc w:val="center"/>
    </w:pPr>
    <w:rPr>
      <w:rFonts w:ascii="Arial" w:hAnsi="Arial" w:eastAsia="Times New Roman" w:cs="Arial"/>
      <w:b/>
      <w:sz w:val="32"/>
      <w:szCs w:val="20"/>
      <w:lang w:val="cs-CZ"/>
    </w:rPr>
  </w:style>
  <w:style w:type="paragraph" w:styleId="CentrBoldm">
    <w:name w:val="CentrBoldm"/>
    <w:basedOn w:val="Normal"/>
    <w:qFormat/>
    <w:pPr>
      <w:spacing w:lineRule="auto" w:line="240" w:before="0" w:after="0"/>
      <w:jc w:val="center"/>
    </w:pPr>
    <w:rPr>
      <w:rFonts w:ascii="TimesLT;Times New Roman" w:hAnsi="TimesLT;Times New Roman" w:eastAsia="Times New Roman" w:cs="TimesLT;Times New Roman"/>
      <w:b/>
      <w:bCs/>
      <w:sz w:val="20"/>
      <w:szCs w:val="24"/>
      <w:lang w:val="en-US"/>
    </w:rPr>
  </w:style>
  <w:style w:type="paragraph" w:styleId="Point1">
    <w:name w:val="Point 1"/>
    <w:basedOn w:val="Normal"/>
    <w:qFormat/>
    <w:pPr>
      <w:spacing w:before="120" w:after="120"/>
      <w:ind w:left="1418" w:hanging="567"/>
      <w:jc w:val="both"/>
    </w:pPr>
    <w:rPr>
      <w:lang w:val="en-GB"/>
    </w:rPr>
  </w:style>
  <w:style w:type="paragraph" w:styleId="Linija">
    <w:name w:val="linija"/>
    <w:basedOn w:val="Normal"/>
    <w:qFormat/>
    <w:pPr>
      <w:spacing w:before="280" w:after="280"/>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pirkimai.eviesieji.pirkimai.lt/" TargetMode="External"/><Relationship Id="rId3" Type="http://schemas.openxmlformats.org/officeDocument/2006/relationships/hyperlink" Target="https://pirkimai.eviesiejipirkimai.lt/" TargetMode="External"/><Relationship Id="rId4" Type="http://schemas.openxmlformats.org/officeDocument/2006/relationships/hyperlink" Target="http://www3.lrs.lt/cgi-bin/preps2?a=41770&amp;b=" TargetMode="External"/><Relationship Id="rId5" Type="http://schemas.openxmlformats.org/officeDocument/2006/relationships/hyperlink" Target="http://www.grazute.lt/" TargetMode="External"/><Relationship Id="rId6" Type="http://schemas.openxmlformats.org/officeDocument/2006/relationships/hyperlink" Target="mailto:g.vaivilavicius@kaunomarios.lt" TargetMode="External"/><Relationship Id="rId7" Type="http://schemas.openxmlformats.org/officeDocument/2006/relationships/hyperlink" Target="mailto:e.makrickas@kaunomarios.lt" TargetMode="External"/><Relationship Id="rId8" Type="http://schemas.openxmlformats.org/officeDocument/2006/relationships/footer" Target="footer1.xml"/><Relationship Id="rId9" Type="http://schemas.openxmlformats.org/officeDocument/2006/relationships/image" Target="media/image1.png"/><Relationship Id="rId10" Type="http://schemas.openxmlformats.org/officeDocument/2006/relationships/hyperlink" Target="https://pirkimai.eviesiejipirkimai.lt/" TargetMode="External"/><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230</TotalTime>
  <Application>LibreOffice/5.1.4.2$Linux_X86_64 LibreOffice_project/10m0$Build-2</Application>
  <Pages>11</Pages>
  <Words>2723</Words>
  <Characters>20242</Characters>
  <CharactersWithSpaces>22852</CharactersWithSpaces>
  <Paragraphs>179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2013-01-16T09:05:00Z</dcterms:created>
  <dc:creator>Jurate</dc:creator>
  <dc:description/>
  <dc:language>lt-LT</dc:language>
  <cp:lastModifiedBy/>
  <cp:lastPrinted>2016-07-04T16:01:12Z</cp:lastPrinted>
  <dcterms:modified xsi:type="dcterms:W3CDTF">2016-07-05T08:35:04Z</dcterms:modified>
  <cp:revision>32</cp:revision>
  <dc:subject/>
  <dc:title> </dc:title>
</cp:coreProperties>
</file>